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spacing w:after="0" w:line="600" w:lineRule="exact"/>
        <w:ind w:firstLine="1767" w:firstLineChars="400"/>
        <w:jc w:val="left"/>
        <w:rPr>
          <w:rFonts w:hint="eastAsia" w:eastAsiaTheme="minorEastAsia"/>
          <w:b/>
          <w:sz w:val="44"/>
          <w:szCs w:val="44"/>
          <w:lang w:eastAsia="zh-CN"/>
        </w:rPr>
      </w:pPr>
      <w:r>
        <w:rPr>
          <w:rFonts w:hint="eastAsia" w:eastAsiaTheme="minorEastAsia"/>
          <w:b/>
          <w:sz w:val="44"/>
          <w:szCs w:val="44"/>
          <w:lang w:eastAsia="zh-CN"/>
        </w:rPr>
        <w:t>大厂回族自治县行政审批局</w:t>
      </w:r>
    </w:p>
    <w:p>
      <w:pPr>
        <w:widowControl/>
        <w:spacing w:after="0" w:line="600" w:lineRule="exact"/>
        <w:ind w:firstLine="883" w:firstLineChars="200"/>
        <w:jc w:val="left"/>
        <w:rPr>
          <w:rFonts w:hint="eastAsia" w:eastAsiaTheme="minorEastAsia"/>
          <w:b/>
          <w:sz w:val="44"/>
          <w:szCs w:val="44"/>
          <w:lang w:eastAsia="zh-CN"/>
        </w:rPr>
      </w:pPr>
    </w:p>
    <w:p>
      <w:pPr>
        <w:widowControl/>
        <w:spacing w:after="0" w:line="600" w:lineRule="exact"/>
        <w:ind w:firstLine="883" w:firstLineChars="200"/>
        <w:jc w:val="left"/>
        <w:rPr>
          <w:rFonts w:hint="eastAsia" w:eastAsiaTheme="minorEastAsia"/>
          <w:b/>
          <w:sz w:val="44"/>
          <w:szCs w:val="44"/>
          <w:lang w:eastAsia="zh-CN"/>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numPr>
          <w:ilvl w:val="0"/>
          <w:numId w:val="1"/>
        </w:numPr>
        <w:spacing w:line="580" w:lineRule="exact"/>
        <w:ind w:firstLine="640" w:firstLineChars="200"/>
        <w:rPr>
          <w:rFonts w:hint="eastAsia" w:eastAsia="黑体"/>
          <w:sz w:val="32"/>
          <w:szCs w:val="32"/>
          <w:lang w:eastAsia="zh-CN"/>
        </w:rPr>
      </w:pPr>
      <w:r>
        <w:rPr>
          <w:rFonts w:hint="eastAsia" w:eastAsia="黑体"/>
          <w:sz w:val="32"/>
          <w:szCs w:val="32"/>
          <w:lang w:eastAsia="zh-CN"/>
        </w:rPr>
        <w:t>大厂回族自治县行政审批局</w:t>
      </w:r>
    </w:p>
    <w:p>
      <w:pPr>
        <w:widowControl/>
        <w:numPr>
          <w:ilvl w:val="0"/>
          <w:numId w:val="0"/>
        </w:numPr>
        <w:spacing w:line="580" w:lineRule="exact"/>
        <w:ind w:firstLine="2240" w:firstLineChars="700"/>
        <w:rPr>
          <w:rFonts w:eastAsia="黑体"/>
          <w:sz w:val="32"/>
          <w:szCs w:val="32"/>
        </w:rPr>
      </w:pP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贯彻执行党中央国务院、省委省政府、市委市政府和县委县政府“放管服”改革、行政审批制度改革、政务服务管理、公共资源交易市场管理有关方针政策和法律法规。拟订有关政策，协调指导并监督实施。</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组织协调全县“放管服”改革工作。指导、</w:t>
      </w:r>
      <w:bookmarkStart w:id="0" w:name="_GoBack"/>
      <w:bookmarkEnd w:id="0"/>
      <w:r>
        <w:rPr>
          <w:rFonts w:hint="eastAsia" w:ascii="仿宋" w:hAnsi="仿宋" w:eastAsia="仿宋"/>
          <w:sz w:val="32"/>
          <w:szCs w:val="32"/>
        </w:rPr>
        <w:t>督促贯彻落实党中央</w:t>
      </w:r>
      <w:r>
        <w:rPr>
          <w:rFonts w:hint="eastAsia" w:ascii="仿宋" w:hAnsi="仿宋" w:eastAsia="仿宋"/>
          <w:sz w:val="32"/>
          <w:szCs w:val="32"/>
          <w:lang w:eastAsia="zh-CN"/>
        </w:rPr>
        <w:t>、</w:t>
      </w:r>
      <w:r>
        <w:rPr>
          <w:rFonts w:hint="eastAsia" w:ascii="仿宋" w:hAnsi="仿宋" w:eastAsia="仿宋"/>
          <w:sz w:val="32"/>
          <w:szCs w:val="32"/>
        </w:rPr>
        <w:t>国务院、省委省政府、市委市政府和县委县政府关于“放管服”改革重要领域、关键环节重大政策措施，承担县推进政府职能转变和“放管服”改革协调小组的日常工作。</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（五）</w:t>
      </w:r>
      <w:r>
        <w:rPr>
          <w:rFonts w:hint="eastAsia" w:ascii="仿宋" w:hAnsi="仿宋" w:eastAsia="仿宋"/>
          <w:sz w:val="32"/>
          <w:szCs w:val="32"/>
        </w:rPr>
        <w:t>指导协调全县政务服务管理工作。负责优化政务服务供给，降低制度性交易成本，提升政务服务效能；负责推进审批服务便民化；指导协调县有关部门为公民、法人或其他组织提供规范、高效、优质的政务服务。</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（六）</w:t>
      </w:r>
      <w:r>
        <w:rPr>
          <w:rFonts w:hint="eastAsia" w:ascii="仿宋" w:hAnsi="仿宋" w:eastAsia="仿宋"/>
          <w:sz w:val="32"/>
          <w:szCs w:val="32"/>
        </w:rPr>
        <w:t>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（七）</w:t>
      </w:r>
      <w:r>
        <w:rPr>
          <w:rFonts w:hint="eastAsia" w:ascii="仿宋" w:hAnsi="仿宋" w:eastAsia="仿宋"/>
          <w:sz w:val="32"/>
          <w:szCs w:val="32"/>
        </w:rPr>
        <w:t>负责全县公共资源交易工作。负责管理和利用统一的公共资源交易电子服务系统；负责推进全县公共资源交易领域信用体系建设；依据公共资源交易平台管理细则和办法等相关规定，履行管理和服务的职责；依法协调相关部门开展全县公共资源交易活动的联动执法工作。</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（八）</w:t>
      </w:r>
      <w:r>
        <w:rPr>
          <w:rFonts w:hint="eastAsia" w:ascii="仿宋" w:hAnsi="仿宋" w:eastAsia="仿宋"/>
          <w:sz w:val="32"/>
          <w:szCs w:val="32"/>
        </w:rPr>
        <w:t>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（九）</w:t>
      </w:r>
      <w:r>
        <w:rPr>
          <w:rFonts w:hint="eastAsia" w:ascii="仿宋" w:hAnsi="仿宋" w:eastAsia="仿宋"/>
          <w:sz w:val="32"/>
          <w:szCs w:val="32"/>
        </w:rPr>
        <w:t>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（十）</w:t>
      </w:r>
      <w:r>
        <w:rPr>
          <w:rFonts w:hint="eastAsia" w:ascii="仿宋" w:hAnsi="仿宋" w:eastAsia="仿宋"/>
          <w:sz w:val="32"/>
          <w:szCs w:val="32"/>
        </w:rPr>
        <w:t>负责承办县委、县政府交办的其他事项。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1"/>
                <w:szCs w:val="21"/>
                <w:lang w:eastAsia="zh-CN"/>
              </w:rPr>
              <w:t>大厂回族自治县行政审批局</w:t>
            </w:r>
            <w:r>
              <w:rPr>
                <w:rFonts w:hint="eastAsia" w:ascii="仿宋_GB2312" w:eastAsia="仿宋_GB2312" w:cs="ArialUnicodeMS" w:hAnsiTheme="minorHAnsi"/>
                <w:kern w:val="0"/>
                <w:sz w:val="21"/>
                <w:szCs w:val="21"/>
              </w:rPr>
              <w:t>(本级)</w:t>
            </w:r>
          </w:p>
        </w:tc>
        <w:tc>
          <w:tcPr>
            <w:tcW w:w="244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行政单位</w:t>
            </w:r>
          </w:p>
        </w:tc>
        <w:tc>
          <w:tcPr>
            <w:tcW w:w="266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702.35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631.45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25.66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15.39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702.35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682.53</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44.22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726.75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726.75</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436" w:type="dxa"/>
        <w:jc w:val="center"/>
        <w:tblLayout w:type="fixed"/>
        <w:tblCellMar>
          <w:top w:w="0" w:type="dxa"/>
          <w:left w:w="0" w:type="dxa"/>
          <w:bottom w:w="0" w:type="dxa"/>
          <w:right w:w="0" w:type="dxa"/>
        </w:tblCellMar>
      </w:tblPr>
      <w:tblGrid>
        <w:gridCol w:w="335"/>
        <w:gridCol w:w="179"/>
        <w:gridCol w:w="288"/>
        <w:gridCol w:w="2554"/>
        <w:gridCol w:w="90"/>
        <w:gridCol w:w="260"/>
        <w:gridCol w:w="409"/>
        <w:gridCol w:w="818"/>
        <w:gridCol w:w="404"/>
        <w:gridCol w:w="254"/>
        <w:gridCol w:w="188"/>
        <w:gridCol w:w="373"/>
        <w:gridCol w:w="254"/>
        <w:gridCol w:w="286"/>
        <w:gridCol w:w="804"/>
        <w:gridCol w:w="819"/>
        <w:gridCol w:w="1046"/>
        <w:gridCol w:w="75"/>
      </w:tblGrid>
      <w:tr>
        <w:tblPrEx>
          <w:tblCellMar>
            <w:top w:w="0" w:type="dxa"/>
            <w:left w:w="0" w:type="dxa"/>
            <w:bottom w:w="0" w:type="dxa"/>
            <w:right w:w="0" w:type="dxa"/>
          </w:tblCellMar>
        </w:tblPrEx>
        <w:trPr>
          <w:trHeight w:val="770" w:hRule="atLeast"/>
          <w:jc w:val="center"/>
        </w:trPr>
        <w:tc>
          <w:tcPr>
            <w:tcW w:w="9436" w:type="dxa"/>
            <w:gridSpan w:val="1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gridAfter w:val="1"/>
          <w:wAfter w:w="75" w:type="dxa"/>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5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2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4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6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4933"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65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30"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3356"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59"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18"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846"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13"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804"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819"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1121" w:type="dxa"/>
            <w:gridSpan w:val="2"/>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554"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59"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18"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46"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13"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04"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19"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1121" w:type="dxa"/>
            <w:gridSpan w:val="2"/>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335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7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335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702.35</w:t>
            </w:r>
          </w:p>
        </w:tc>
        <w:tc>
          <w:tcPr>
            <w:tcW w:w="8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18"/>
                <w:szCs w:val="18"/>
                <w:lang w:val="en-US" w:eastAsia="zh-CN" w:bidi="ar-SA"/>
              </w:rPr>
            </w:pPr>
            <w:r>
              <w:rPr>
                <w:rFonts w:hint="eastAsia" w:ascii="宋体" w:hAnsi="宋体" w:cs="宋体"/>
                <w:b w:val="0"/>
                <w:bCs/>
                <w:color w:val="000000"/>
                <w:sz w:val="18"/>
                <w:szCs w:val="18"/>
                <w:lang w:val="en-US" w:eastAsia="zh-CN"/>
              </w:rPr>
              <w:t>702.35</w:t>
            </w:r>
          </w:p>
        </w:tc>
        <w:tc>
          <w:tcPr>
            <w:tcW w:w="84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91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80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81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11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一般公共服务支出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651.27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651.27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20103</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政府办公厅（室）及相关机构事务</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651.27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651.27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2010399</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其他政府办公厅（室）及相关机构事务支出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651.27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651.27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社会保障和就业支出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25.66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25.66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行政事业单位离退休</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25.66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25.66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208050</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eastAsia="zh-CN"/>
              </w:rPr>
              <w:t>机关事业单位基本养老保险缴费支出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25.66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25.66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医疗卫生与计划生育支出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10.03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10.03</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行政事业单位医疗</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10.03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10.03</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行政单位医疗</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10.03</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10.03</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住房保障支出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15.39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15.39</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住房改革支出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15.39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15.39</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住房公积金</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15.39</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15.39</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481" w:hRule="atLeast"/>
          <w:jc w:val="center"/>
        </w:trPr>
        <w:tc>
          <w:tcPr>
            <w:tcW w:w="9436" w:type="dxa"/>
            <w:gridSpan w:val="1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521" w:type="dxa"/>
        <w:tblInd w:w="0" w:type="dxa"/>
        <w:tblLayout w:type="fixed"/>
        <w:tblCellMar>
          <w:top w:w="0" w:type="dxa"/>
          <w:left w:w="0" w:type="dxa"/>
          <w:bottom w:w="0" w:type="dxa"/>
          <w:right w:w="0" w:type="dxa"/>
        </w:tblCellMar>
      </w:tblPr>
      <w:tblGrid>
        <w:gridCol w:w="290"/>
        <w:gridCol w:w="289"/>
        <w:gridCol w:w="269"/>
        <w:gridCol w:w="1991"/>
        <w:gridCol w:w="307"/>
        <w:gridCol w:w="743"/>
        <w:gridCol w:w="375"/>
        <w:gridCol w:w="879"/>
        <w:gridCol w:w="241"/>
        <w:gridCol w:w="1118"/>
        <w:gridCol w:w="959"/>
        <w:gridCol w:w="161"/>
        <w:gridCol w:w="685"/>
        <w:gridCol w:w="1214"/>
      </w:tblGrid>
      <w:tr>
        <w:tblPrEx>
          <w:tblCellMar>
            <w:top w:w="0" w:type="dxa"/>
            <w:left w:w="0" w:type="dxa"/>
            <w:bottom w:w="0" w:type="dxa"/>
            <w:right w:w="0" w:type="dxa"/>
          </w:tblCellMar>
        </w:tblPrEx>
        <w:trPr>
          <w:trHeight w:val="798" w:hRule="atLeast"/>
        </w:trPr>
        <w:tc>
          <w:tcPr>
            <w:tcW w:w="9521"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9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19"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83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5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25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359"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959"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846"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21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5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5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59"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59"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46"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1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83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5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84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83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682.53</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418.44</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264.09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一般公共服务支出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631.45</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367.36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264.09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20103</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政府办公厅（室）及相关机构事务</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631.45</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367.36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264.09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2010399</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其他政府办公厅（室）及相关机构事务支出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631.45</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367.36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264.09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社会保障和就业支出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行政事业单位离退休</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2080505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机关事业单位基本养老保险缴费支出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25.66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医疗卫生与计划生育支出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21011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行政事业单位医疗</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2101101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行政单位医疗</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住房保障支出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住房改革支出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2210202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住房公积金</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15.39</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748" w:hRule="atLeast"/>
        </w:trPr>
        <w:tc>
          <w:tcPr>
            <w:tcW w:w="9521"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702.35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631.45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631.45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25.66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25.66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15.39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702.35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682.53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682.53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44.22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44.22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726.75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726.75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726.75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411"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682.53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418.44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264.09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一般公共服务支出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631.45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367.36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264.06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政府办公厅（室）及相关机构事务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631.45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367.36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2010399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eastAsia="zh-CN"/>
              </w:rPr>
              <w:t>其他政府办公厅</w:t>
            </w:r>
            <w:r>
              <w:rPr>
                <w:rFonts w:hint="eastAsia" w:ascii="宋体" w:hAnsi="宋体" w:cs="宋体"/>
                <w:color w:val="000000"/>
                <w:szCs w:val="21"/>
                <w:lang w:val="en-US" w:eastAsia="zh-CN"/>
              </w:rPr>
              <w:t>(室)及相关机构事务支出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631.45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367.36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264.09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机构事业单位基本养老保险缴费支出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25.66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eastAsia="zh-CN"/>
              </w:rPr>
              <w:t>廊坊市大厂回族自治县行政审批局（本级）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230.71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130.31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62.72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85.63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3.73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7.1</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7.1</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25.66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6.07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24.22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7.37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28.65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20.72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11.67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8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50.22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8.72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281.03</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137.41</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0.42</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w:t>
            </w:r>
            <w:r>
              <w:rPr>
                <w:rFonts w:hint="eastAsia" w:ascii="宋体" w:hAnsi="宋体" w:cs="宋体"/>
                <w:color w:val="000000"/>
                <w:kern w:val="0"/>
                <w:szCs w:val="21"/>
                <w:lang w:eastAsia="zh-CN"/>
              </w:rPr>
              <w:t>部门本年度</w:t>
            </w:r>
            <w:r>
              <w:rPr>
                <w:rFonts w:hint="eastAsia" w:ascii="宋体" w:hAnsi="宋体" w:cs="宋体"/>
                <w:color w:val="000000"/>
                <w:kern w:val="0"/>
                <w:szCs w:val="21"/>
              </w:rPr>
              <w:t>无政府性基金预算财政拨款收入支出,空表列示。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1428"/>
        <w:gridCol w:w="1677"/>
        <w:gridCol w:w="1898"/>
        <w:gridCol w:w="359"/>
        <w:gridCol w:w="1539"/>
        <w:gridCol w:w="1899"/>
      </w:tblGrid>
      <w:tr>
        <w:tblPrEx>
          <w:tblCellMar>
            <w:top w:w="0" w:type="dxa"/>
            <w:left w:w="0" w:type="dxa"/>
            <w:bottom w:w="0" w:type="dxa"/>
            <w:right w:w="0" w:type="dxa"/>
          </w:tblCellMar>
        </w:tblPrEx>
        <w:trPr>
          <w:trHeight w:val="656" w:hRule="atLeast"/>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5362" w:type="dxa"/>
            <w:gridSpan w:val="4"/>
            <w:vMerge w:val="restart"/>
            <w:tcBorders>
              <w:top w:val="nil"/>
              <w:left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2"/>
                <w:szCs w:val="22"/>
                <w:lang w:eastAsia="zh-CN"/>
              </w:rPr>
              <w:t>廊坊市大厂回族自治县行政审批局（本级）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4"/>
            <w:vMerge w:val="continue"/>
            <w:tcBorders>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w:t>
            </w:r>
            <w:r>
              <w:rPr>
                <w:rFonts w:hint="eastAsia" w:ascii="宋体" w:hAnsi="宋体" w:cs="宋体"/>
                <w:color w:val="000000"/>
                <w:kern w:val="0"/>
                <w:sz w:val="22"/>
                <w:szCs w:val="22"/>
                <w:lang w:eastAsia="zh-CN"/>
              </w:rPr>
              <w:t>部门本年度</w:t>
            </w:r>
            <w:r>
              <w:rPr>
                <w:rFonts w:hint="eastAsia" w:ascii="宋体" w:hAnsi="宋体" w:cs="宋体"/>
                <w:color w:val="000000"/>
                <w:kern w:val="0"/>
                <w:sz w:val="22"/>
                <w:szCs w:val="22"/>
              </w:rPr>
              <w:t>无国有资本经营预算财政拨款支出，空表列示。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廊坊市大厂回族自治县行政审批局（本级）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Cs w:val="21"/>
                <w:lang w:eastAsia="zh-CN"/>
              </w:rPr>
              <w:t>本部门本年度无政府采购项目，空表列示。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本部门2018年度收</w:t>
      </w:r>
      <w:r>
        <w:rPr>
          <w:rFonts w:hint="eastAsia" w:ascii="仿宋" w:hAnsi="仿宋" w:eastAsia="仿宋" w:cs="仿宋"/>
          <w:sz w:val="32"/>
          <w:szCs w:val="32"/>
          <w:lang w:eastAsia="zh-CN"/>
        </w:rPr>
        <w:t>入</w:t>
      </w:r>
      <w:r>
        <w:rPr>
          <w:rFonts w:hint="eastAsia" w:ascii="仿宋" w:hAnsi="仿宋" w:eastAsia="仿宋" w:cs="仿宋"/>
          <w:sz w:val="32"/>
          <w:szCs w:val="32"/>
        </w:rPr>
        <w:t>总计（含结转和结余）</w:t>
      </w:r>
      <w:r>
        <w:rPr>
          <w:rFonts w:hint="eastAsia" w:ascii="仿宋" w:hAnsi="仿宋" w:eastAsia="仿宋" w:cs="仿宋"/>
          <w:sz w:val="32"/>
          <w:szCs w:val="32"/>
          <w:lang w:val="en-US" w:eastAsia="zh-CN"/>
        </w:rPr>
        <w:t>726.75</w:t>
      </w:r>
      <w:r>
        <w:rPr>
          <w:rFonts w:hint="eastAsia" w:ascii="仿宋" w:hAnsi="仿宋" w:eastAsia="仿宋" w:cs="仿宋"/>
          <w:sz w:val="32"/>
          <w:szCs w:val="32"/>
        </w:rPr>
        <w:t>万元</w:t>
      </w:r>
      <w:r>
        <w:rPr>
          <w:rFonts w:hint="eastAsia" w:ascii="仿宋" w:hAnsi="仿宋" w:eastAsia="仿宋" w:cs="仿宋"/>
          <w:sz w:val="32"/>
          <w:szCs w:val="32"/>
          <w:lang w:eastAsia="zh-CN"/>
        </w:rPr>
        <w:t>，本年支出</w:t>
      </w:r>
      <w:r>
        <w:rPr>
          <w:rFonts w:hint="eastAsia" w:ascii="仿宋" w:hAnsi="仿宋" w:eastAsia="仿宋" w:cs="仿宋"/>
          <w:sz w:val="32"/>
          <w:szCs w:val="32"/>
          <w:lang w:val="en-US" w:eastAsia="zh-CN"/>
        </w:rPr>
        <w:t>682.53万元，年末结转和结余</w:t>
      </w:r>
      <w:r>
        <w:rPr>
          <w:rFonts w:hint="eastAsia" w:ascii="仿宋" w:hAnsi="仿宋" w:eastAsia="仿宋" w:cs="仿宋"/>
          <w:sz w:val="32"/>
          <w:szCs w:val="32"/>
        </w:rPr>
        <w:t>）</w:t>
      </w:r>
      <w:r>
        <w:rPr>
          <w:rFonts w:hint="eastAsia" w:ascii="仿宋" w:hAnsi="仿宋" w:eastAsia="仿宋" w:cs="仿宋"/>
          <w:sz w:val="32"/>
          <w:szCs w:val="32"/>
          <w:lang w:val="en-US" w:eastAsia="zh-CN"/>
        </w:rPr>
        <w:t>44.22万元，</w:t>
      </w:r>
      <w:r>
        <w:rPr>
          <w:rFonts w:hint="eastAsia" w:ascii="仿宋" w:hAnsi="仿宋" w:eastAsia="仿宋" w:cs="仿宋"/>
          <w:sz w:val="32"/>
          <w:szCs w:val="32"/>
        </w:rPr>
        <w:t>与2017年度决算</w:t>
      </w:r>
      <w:r>
        <w:rPr>
          <w:rFonts w:hint="eastAsia" w:ascii="仿宋" w:hAnsi="仿宋" w:eastAsia="仿宋" w:cs="仿宋"/>
          <w:sz w:val="32"/>
          <w:szCs w:val="32"/>
          <w:lang w:eastAsia="zh-CN"/>
        </w:rPr>
        <w:t>收入相比增加</w:t>
      </w:r>
      <w:r>
        <w:rPr>
          <w:rFonts w:hint="eastAsia" w:ascii="仿宋" w:hAnsi="仿宋" w:eastAsia="仿宋" w:cs="仿宋"/>
          <w:b w:val="0"/>
          <w:bCs w:val="0"/>
          <w:sz w:val="32"/>
          <w:szCs w:val="32"/>
          <w:lang w:val="en-US" w:eastAsia="zh-CN"/>
        </w:rPr>
        <w:t>404.64</w:t>
      </w:r>
      <w:r>
        <w:rPr>
          <w:rFonts w:hint="eastAsia" w:ascii="仿宋" w:hAnsi="仿宋" w:eastAsia="仿宋" w:cs="仿宋"/>
          <w:sz w:val="32"/>
          <w:szCs w:val="32"/>
          <w:lang w:val="en-US" w:eastAsia="zh-CN"/>
        </w:rPr>
        <w:t>万元，增加55.68%，主要原因是成立大厂回族自治县行政审批局后，整体人员划转，工资、保险等增加，以及办公地址的变更，物业管理费和办公经费大幅增加，以及审批职能的划转，增加了第三方的中介服务以及审批平台系统的开发费用，造成单位收入大幅上涨。支出增加364.09万元，增加53.34%,主要原因是成立大厂回族自治县行政审批局后，整体人员划转，工资、保险等增加，以及办公地址的变更，物业管理费和办公经费大幅增加，以及审批职能的划转，增加了第三方的中介服务以及审批平台系统的开发费用，造成单位支出大幅上涨。</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726.75</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726.75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eastAsia="黑体" w:hAnsiTheme="majorHAnsi" w:cstheme="majorBidi"/>
          <w:sz w:val="32"/>
          <w:szCs w:val="32"/>
        </w:rPr>
      </w:pPr>
      <w:r>
        <w:rPr>
          <w:rFonts w:ascii="仿宋" w:hAnsi="仿宋" w:eastAsia="仿宋"/>
          <w:sz w:val="32"/>
          <w:szCs w:val="32"/>
        </w:rPr>
        <w:object>
          <v:shape id="_x0000_i1025" o:spt="75" type="#_x0000_t75" style="height:223.55pt;width:350.8pt;" o:ole="t" filled="f" o:preferrelative="t" stroked="f" coordsize="21600,21600">
            <v:path/>
            <v:fill on="f" focussize="0,0"/>
            <v:stroke on="f"/>
            <v:imagedata r:id="rId7" o:title=""/>
            <o:lock v:ext="edit" aspectratio="t"/>
            <w10:wrap type="none"/>
            <w10:anchorlock/>
          </v:shape>
          <o:OLEObject Type="Embed" ProgID="MSGraph.Chart.8" ShapeID="_x0000_i1025" DrawAspect="Content" ObjectID="_1468075725" r:id="rId6">
            <o:LockedField>false</o:LockedField>
          </o:OLEObject>
        </w:objec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682.53</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418.44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61.31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264.09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38.69</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pStyle w:val="33"/>
        <w:spacing w:line="360" w:lineRule="auto"/>
        <w:jc w:val="both"/>
        <w:rPr>
          <w:rFonts w:hint="eastAsia" w:ascii="仿宋" w:hAnsi="仿宋" w:eastAsia="仿宋" w:cs="仿宋"/>
          <w:b w:val="0"/>
          <w:bCs/>
          <w:sz w:val="32"/>
          <w:szCs w:val="32"/>
          <w:lang w:eastAsia="zh-CN"/>
        </w:rPr>
      </w:pPr>
      <w:r>
        <w:rPr>
          <w:rFonts w:hint="eastAsia" w:ascii="仿宋_GB2312" w:hAnsi="仿宋_GB2312" w:eastAsia="仿宋_GB2312" w:cs="仿宋_GB2312"/>
          <w:b w:val="0"/>
          <w:bCs w:val="0"/>
          <w:sz w:val="30"/>
          <w:szCs w:val="30"/>
          <w:lang w:val="en-US" w:eastAsia="zh-CN"/>
        </w:rPr>
        <w:drawing>
          <wp:inline distT="0" distB="0" distL="114300" distR="114300">
            <wp:extent cx="5000625" cy="2164080"/>
            <wp:effectExtent l="4445" t="4445" r="5080" b="2222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32"/>
        </w:rPr>
        <mc:AlternateContent>
          <mc:Choice Requires="wps">
            <w:drawing>
              <wp:anchor distT="0" distB="0" distL="114300" distR="114300" simplePos="0" relativeHeight="251659264" behindDoc="0" locked="0" layoutInCell="1" allowOverlap="1">
                <wp:simplePos x="0" y="0"/>
                <wp:positionH relativeFrom="column">
                  <wp:posOffset>1009015</wp:posOffset>
                </wp:positionH>
                <wp:positionV relativeFrom="paragraph">
                  <wp:posOffset>-241935</wp:posOffset>
                </wp:positionV>
                <wp:extent cx="75565" cy="75565"/>
                <wp:effectExtent l="0" t="0" r="635" b="635"/>
                <wp:wrapNone/>
                <wp:docPr id="1" name="椭圆 2"/>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FFFF00"/>
                        </a:solidFill>
                        <a:ln>
                          <a:noFill/>
                        </a:ln>
                      </wps:spPr>
                      <wps:bodyPr upright="1"/>
                    </wps:wsp>
                  </a:graphicData>
                </a:graphic>
              </wp:anchor>
            </w:drawing>
          </mc:Choice>
          <mc:Fallback>
            <w:pict>
              <v:shape id="椭圆 2" o:spid="_x0000_s1026" o:spt="3" type="#_x0000_t3" style="position:absolute;left:0pt;margin-left:79.45pt;margin-top:-19.05pt;height:5.95pt;width:5.95pt;z-index:251659264;mso-width-relative:page;mso-height-relative:page;" fillcolor="#FFFF00" filled="t" stroked="f" coordsize="21600,21600" o:gfxdata="UEsDBAoAAAAAAIdO4kAAAAAAAAAAAAAAAAAEAAAAZHJzL1BLAwQUAAAACACHTuJAS3RLp9gAAAAL&#10;AQAADwAAAGRycy9kb3ducmV2LnhtbE2PwU7DMBBE70j8g7VI3Fo7QW1CiFMhUA/QEy0f4MZLEiVe&#10;h9hpy9+zPcFxZp9mZ8rNxQ3ihFPoPGlIlgoEUu1tR42Gz8N2kYMI0ZA1gyfU8IMBNtXtTWkK68/0&#10;gad9bASHUCiMhjbGsZAy1C06E5Z+ROLbl5+ciSynRtrJnDncDTJVai2d6Yg/tGbElxbrfj87Ddmu&#10;f9s+D/0qyfo8233b1/m9O2h9f5eoJxARL/EPhmt9rg4Vdzr6mWwQA+tV/siohsVDnoC4EpniMUd2&#10;0nUKsirl/w3VL1BLAwQUAAAACACHTuJAlEp877ABAABfAwAADgAAAGRycy9lMm9Eb2MueG1srVNL&#10;btswEN0XyB0I7mvJBpwWguUsYriboAmQ9gA0RUoE+MMMbdkX6Cmy7LbHas/RIeU6bbrJIlpIM8PH&#10;x3lvqNXN0Vl2UIAm+JbPZzVnysvQGd+3/OuX7fuPnGESvhM2eNXyk0J+s756txpjoxZhCLZTwIjE&#10;YzPGlg8pxaaqUA7KCZyFqDwt6gBOJEqhrzoQI7E7Wy3q+roaA3QRglSIVN1Mi/zMCK8hDFobqTZB&#10;7p3yaWIFZUUiSTiYiHxdutVayXSvNarEbMtJaSpvOoTiXX5X65VoehBxMPLcgnhNCy80OWE8HXqh&#10;2ogk2B7Mf1TOSAgYdJrJ4KpJSHGEVMzrF948DiKqooWsxngxHd+OVn4+PAAzHd0EzrxwNPBf33/8&#10;fPrGFtmbMWJDkMf4AOcMKcxCjxpc/pIEdix+ni5+qmNikooflsvrJWeSVqaQOKrnrREwfVLBsRy0&#10;XFlLo8t6RSMOd5gm9B9ULmOwptsaa0sC/e7WAjsImu2WnrqMkw74B2Z9BvuQt02MuVJlZZOWHO1C&#10;dyIf9hFMP1Av8yy+YMj30vT5juTB/p0X1PN/s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3RL&#10;p9gAAAALAQAADwAAAAAAAAABACAAAAAiAAAAZHJzL2Rvd25yZXYueG1sUEsBAhQAFAAAAAgAh07i&#10;QJRKfO+wAQAAXwMAAA4AAAAAAAAAAQAgAAAAJwEAAGRycy9lMm9Eb2MueG1sUEsFBgAAAAAGAAYA&#10;WQEAAEkFAAAAAA==&#10;">
                <v:fill on="t" focussize="0,0"/>
                <v:stroke on="f"/>
                <v:imagedata o:title=""/>
                <o:lock v:ext="edit" aspectratio="f"/>
              </v:shape>
            </w:pict>
          </mc:Fallback>
        </mc:AlternateConten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本部门</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eastAsia="zh-CN"/>
        </w:rPr>
        <w:t>财政拨款收支全部为一般公共预算财政拨款收支，一般公共预算财政拨款</w:t>
      </w:r>
      <w:r>
        <w:rPr>
          <w:rFonts w:hint="eastAsia" w:ascii="仿宋" w:hAnsi="仿宋" w:eastAsia="仿宋" w:cs="仿宋"/>
          <w:sz w:val="32"/>
          <w:szCs w:val="32"/>
        </w:rPr>
        <w:t>年初结转和结余</w:t>
      </w:r>
      <w:r>
        <w:rPr>
          <w:rFonts w:hint="eastAsia" w:ascii="仿宋" w:hAnsi="仿宋" w:eastAsia="仿宋" w:cs="仿宋"/>
          <w:sz w:val="32"/>
          <w:szCs w:val="32"/>
          <w:lang w:val="en-US" w:eastAsia="zh-CN"/>
        </w:rPr>
        <w:t>24.4</w:t>
      </w:r>
      <w:r>
        <w:rPr>
          <w:rFonts w:hint="eastAsia" w:ascii="仿宋" w:hAnsi="仿宋" w:eastAsia="仿宋" w:cs="仿宋"/>
          <w:sz w:val="32"/>
          <w:szCs w:val="32"/>
        </w:rPr>
        <w:t>万元，201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本年收入</w:t>
      </w:r>
      <w:r>
        <w:rPr>
          <w:rFonts w:hint="eastAsia" w:ascii="仿宋" w:hAnsi="仿宋" w:eastAsia="仿宋" w:cs="仿宋"/>
          <w:sz w:val="32"/>
          <w:szCs w:val="32"/>
          <w:lang w:val="en-US" w:eastAsia="zh-CN"/>
        </w:rPr>
        <w:t>702.35</w:t>
      </w:r>
      <w:r>
        <w:rPr>
          <w:rFonts w:hint="eastAsia" w:ascii="仿宋" w:hAnsi="仿宋" w:eastAsia="仿宋" w:cs="仿宋"/>
          <w:sz w:val="32"/>
          <w:szCs w:val="32"/>
        </w:rPr>
        <w:t>万元，本年支出</w:t>
      </w:r>
      <w:r>
        <w:rPr>
          <w:rFonts w:hint="eastAsia" w:ascii="仿宋" w:hAnsi="仿宋" w:eastAsia="仿宋" w:cs="仿宋"/>
          <w:sz w:val="32"/>
          <w:szCs w:val="32"/>
          <w:lang w:val="en-US" w:eastAsia="zh-CN"/>
        </w:rPr>
        <w:t>682.53</w:t>
      </w:r>
      <w:r>
        <w:rPr>
          <w:rFonts w:hint="eastAsia" w:ascii="仿宋" w:hAnsi="仿宋" w:eastAsia="仿宋" w:cs="仿宋"/>
          <w:sz w:val="32"/>
          <w:szCs w:val="32"/>
        </w:rPr>
        <w:t>万元，年末结转和结余</w:t>
      </w:r>
      <w:r>
        <w:rPr>
          <w:rFonts w:hint="eastAsia" w:ascii="仿宋" w:hAnsi="仿宋" w:eastAsia="仿宋" w:cs="仿宋"/>
          <w:sz w:val="32"/>
          <w:szCs w:val="32"/>
          <w:lang w:val="en-US" w:eastAsia="zh-CN"/>
        </w:rPr>
        <w:t>44.22</w:t>
      </w:r>
      <w:r>
        <w:rPr>
          <w:rFonts w:hint="eastAsia" w:ascii="仿宋" w:hAnsi="仿宋" w:eastAsia="仿宋" w:cs="仿宋"/>
          <w:sz w:val="32"/>
          <w:szCs w:val="32"/>
        </w:rPr>
        <w:t>万元。同201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收入相比增加</w:t>
      </w:r>
      <w:r>
        <w:rPr>
          <w:rFonts w:hint="eastAsia" w:ascii="仿宋" w:hAnsi="仿宋" w:eastAsia="仿宋" w:cs="仿宋"/>
          <w:sz w:val="32"/>
          <w:szCs w:val="32"/>
          <w:lang w:val="en-US" w:eastAsia="zh-CN"/>
        </w:rPr>
        <w:t>404.64</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55.68%，主要原因是成立大厂回族自治县行政审批局后，整体人员划转，工资、保险等增加，以及办公地址的变更，物业管理费和办公经费大幅增加，以及审批职能的划转，增加了第三方的中介服务以及审批平台系统的开发费用，造成单位收入大幅上涨。支出增加364.09万元，增加53.34%,主要原因是成立大厂回族自治县行政审批局后，整体人员划转，工资、保险等增加，以及办公地址的变更，物业管理费和办公经费大幅增加，以及审批职能的划转，增加了第三方的中介服务以及审批平台系统的开发费用，造成单位支出大幅上涨。</w:t>
      </w:r>
    </w:p>
    <w:p>
      <w:pPr>
        <w:adjustRightInd w:val="0"/>
        <w:snapToGrid w:val="0"/>
        <w:spacing w:after="0" w:line="580" w:lineRule="exact"/>
        <w:ind w:firstLine="1920" w:firstLineChars="600"/>
        <w:jc w:val="both"/>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仿宋"/>
          <w:sz w:val="32"/>
          <w:szCs w:val="32"/>
        </w:rPr>
        <w:pict>
          <v:shape id="_x0000_s1027" o:spid="_x0000_s1027" o:spt="75" type="#_x0000_t75" style="position:absolute;left:0pt;margin-left:27.1pt;margin-top:16.3pt;height:201.45pt;width:348.4pt;z-index:251660288;mso-width-relative:page;mso-height-relative:page;" o:ole="t" filled="f" o:preferrelative="t" stroked="f" coordsize="21600,21600" o:gfxdata="UEsDBAoAAAAAAIdO4kAAAAAAAAAAAAAAAAAEAAAAZHJzL1BLAwQUAAAACACHTuJAlEaavtYAAAAK&#10;AQAADwAAAGRycy9kb3ducmV2LnhtbE2PzW6DQAyE75X6DitX6qVqFloChLLkgJRbL/l5gAVcQGG9&#10;lF0Cffs6p/Zkj2Y0/pzvVzOIG06ut6Qg3AQgkGrb9NQquJwPrykI5zU1erCECn7Qwb54fMh11tiF&#10;jng7+VZwCblMK+i8HzMpXd2h0W5jRyT2vuxktGc5tbKZ9MLlZpBvQRBLo3viC50eseywvp5moyA9&#10;v8RlfDykZYvVBddo+Z4/F6Wen8LgA4TH1f+F4Y7P6FAwU2VnapwYWG+jhKMKopAnB5LtfakUvO/S&#10;BGSRy/8vFL9QSwMEFAAAAAgAh07iQIu29bYHAQAAOAIAAA4AAABkcnMvZTJvRG9jLnhtbJ2RzU7D&#10;MBCE70i8g7V36rQNP43q9FIhceICD7DY68ZSYltrl8DbY9qAygkpt9kd6dPs7Hb3MfTinTi54BUs&#10;FxUI8joY5w8KXl8ebx5ApIzeYB88KfikBLv2+mo7xoZWoQu9IRYF4lMzRgVdzrGRMumOBkyLEMkX&#10;0wYeMJeRD9IwjoU+9HJVVXdyDGwiB00ple3+bEJ74ltLOj9bmyiLXkFd17cg8o9gBat1vSmrt5J8&#10;vbmvQLZbbA6MsXN6CoUzMg3ofInwi9pjRnFkNwOlO+RcWLo5qSmUnk2aAOX2/5sO1jpN+6CPA/l8&#10;rpupx1x+nToXEwhunFHAT2b53Z38c/HlXPTlw9svUEsDBAoAAAAAAIdO4kAAAAAAAAAAAAAAAAAP&#10;AAAAZHJzL2VtYmVkZGluZ3MvUEsDBBQAAAAIAIdO4kDKhjhJWCIAAAAuAAAdAAAAZHJzL2VtYmVk&#10;ZGluZ3Mvb2xlT2JqZWN0MS5iaW7tenVYnEmzL+4egltwd4fg7iG4Bhnc3WVw1xAIwd0dgrsEl4QE&#10;Eix4CO7B7kyyu9mw+fbce+5f53lO89T0S09V19u/7q6u6arJCczlnBqCFYh7RQgCGuL2DhEC7m/t&#10;kKBnMH0vGBCg7+/uwM9/1uBnUNP/lv9BCNyA3hU8f9CguYMBESyIwHMODyIEECGCCAlEyCBCAREq&#10;iNBAhA4iDBBhgggLRA9AhA2ihyAC9/e/5X8GAqoQ9qA/FwgyCEkIO1DtBOEJmsH/+4IDWjF/jvQv&#10;2/BfiP/dXjhAGEGYQFiDPs0hAP+F3O++xoCAgvxTP7j+Hc/9NihQwy71/db//v//r/r/+5p+L/n/&#10;o19FHhoGvL8hIMKUPot8f/jjA7zzTe1NVJzsHZxZwGzg7Y3wnW1cTA+SDTTbfCAkMf7OZuTgwOxh&#10;a5OR0C0HzYYRug/cx3CqsowKT7aJzP4syajVPvjVhvCDopiZnk5WfxR8N8/B2kfaCzwznmzdwzVb&#10;6rsJ4SXlNZ+Zt+Uh4bOtQGW0gVeBHB31duoH6euXW6kclLty+t7wsEtQR83zS0lRW9AStQGMkryM&#10;Fy9pR4NF6kKlVkUT9VXpSQkVLWMYVsqGCXhPNzogpY35SUgRP2C8xhp+coG2xuc4O+0vLm/PL9Sm&#10;bycOpXFEGTxPoFhS0FJP7XXysKYuJlAnMoeWRcR9HXdeSq22QBs51MfUglT1hs7cnSAnismjLO9d&#10;rKqP+Yi88HtIutK495vnTYMTRbh0iZlL3xwtiMfPVBS9xAncYvRFNmR6mFemVVE91Jlc8oUDaMSX&#10;Mx+tmr3a4YJYTxfv6HBsOWHQvb5u/gb1K7wAUgV3SRC8RiB4wfb1r1kwsXcCgPGNSRxT6mXFCN6X&#10;aRNf8zamYcIup2QS/hIhJwMT+JpsZLERp+bBXGi9fVxS/aOHRLx74xcf557PXCo978bFY2DIyOEl&#10;p4UYY3h0Si0+0c/eJhboqoCsoUHAXg8ftXF5qT1sPcwAHVdY2s2LyH1AaUtXxVHvWlmIp9sB22+z&#10;RjwftTNMu+Fjyf3a7DrIFoImWM8YNhZxA88u0OgxxhQk3UVAubDiHCTMoAoQapcxNg/vzoMYD3Dn&#10;M0lHUZRoZ3iVgeY4aNPt7eiwX04UrTgjMZYftXI8eOF6evC2gkBuYTESevhpNx1Plx7giDAnP2U2&#10;rVHuUMaySot9R+N22Rrxs1sWyyIu3e3CWRuzHzos5oVIfZy/mgG1+3k/1jpiRFUvL9qqpSiWF1te&#10;cFvDU+XFJsirUP7RW3RHjXg6RYSM6AhpkcV1oRvsS55fMc9IwfG+BWHtD8IdfJb9xNzV2cXe9vuq&#10;jh9TCmbFkzyn7hCf8bUsyYWGpIbiIMR9yTueWQ8oRLyR1VUx9nGXH8hqH2E5H3nT3PSpowxztMfT&#10;0gV2JliEjJND78tTWEN07/rArjCDYz9OHTUHTBK7nZ2yozl8Br34nqDwyQ7gJoZNYI25eY5XVp/W&#10;oCmr0umjzL3gMVYZav5eaiqXruR4gVFq0mixM1x4ljZjtDtJp14NAX9BRu4vs+s8PpBBSImaB3kj&#10;85UjMqFbzPZP5Kbh1nkuH5MTilmIf/S9rb4K7qqcwIZaKNO6OVynM77sE+N4k0AaErXFh53ne9z9&#10;LtkUu8ASi0fh6ISb4dBQ4zNpSEtf2UdA8zfk/2wowK6Dh813E/F7SwJuBTG4GBnbAO6bkr0IQW4C&#10;EOZNIAIbmJ9839nZwMAD4hXByz3kXOZT98vHrliUwaWFD4VL1RBrsh0CctI4U64feOrN7/FKNDE+&#10;64/UfTSlu0wJi1lTl7U5dnUtlRQz9TlCkMHcWQYeEaEWWZO2dXRlxc/LCQ0IPQ/VUJfcm4JHvbqa&#10;96RLWpG8hWlTJUQFvWBNUhLOc9mq9rDAZfFZuGZnsp53D5Ah91n9aOKaAoEaTjC9MSNCFLXdnZdv&#10;3KaYY4Wj95X0kdqGQwIai7IoDK7KcYbuBENT7CRitMBLhiLNgVqt189R+Ux927MojVHg2haT6xDi&#10;A77uWpjXkZbe7F06n9f4e297Tg9QfCRA6w57eFz9jrOu4AERZNGw8xbcy1card3+qscZy+qKNWNa&#10;oqtfFTqtRj6sx3RC/udJAftoICzd7Z2snS0AAJf7uNedUOCqgOwLDcjhw/sH73eR79jHqCkqr7Ji&#10;tFfV33UfZfAiqmRbRQaU6uTrlxh3jldyWDISCVi3ol5fEQuALAW83Vn6YToPh3LmQgdn5NcufksX&#10;0TrKAph61oK36cDb2wbB1sI+z0r5yuhQYAcwr+m4ytAso2aiEu4ABr+ewWLXVwAwGkFAsIc1AxyQ&#10;Adj0PjbYDW2ehWJZzZOqEVSkKV9Rnck0shLuNSqVQ9LCq7EVucrsA34mOW3VabR75k0n3K+ps2hU&#10;FZQJHRElxH4EwKX5RkBX7lh4FMGKulOQ4ebZaxf7zaYPcQq+1+q172KjucwnY2frknz/mF00YNe+&#10;Z0ulfMsslVhnCS+eilt/l7BNBs8Y0Ftps+514HPAsTadY6TRaZ+Y+mSrjZdwTvhgtDAWv7sDdWaV&#10;PxBqJUeiTAWLsZp7g49SiDwZbi8VA6/5wAkePVtN9MUc3/yWISPWuBYwhgttQrwdUD82nIhF36F+&#10;213cWXviKmq/FfA4bY9wSHH3yaink2zEnBcVl08YMS0KzglxKKXo+aRh6oCPmaL0JN2HWGvPA0fu&#10;sRp0zK7WgAG8WYfwvY3t6F2Vao+R18JjQwMooZ9MAq97oSAfM8fHTeQFXz2iwJ442tkxzXLoI4Xz&#10;mRcRibucWDpEx3/s75amwDwQnQf1QE7C5Uln+tA3DbalOJQb8QGjdvMv7osT7euEF927UlbS2GoX&#10;1IqVtDU3Yqtz6dy5rwcaDreWVjRWeaBeZ3GKnj5n83u9bHX1gR3oITlBr+W4Q4xpVhak6RBHIfdV&#10;LQW2IQ5wAksIbSHB7ed4fPefVyzY3wDvfguALeCev+FMjJ/qDPpVIkT4wzj/xfad+fs63dVWtCeU&#10;xOugOCSV8ra3pXEjkHYt/VBDaDEjVaP7dtXj8WKGl5s5F4fSF0KrOBmZcKCXqJgeL1m2KkOgxCUX&#10;nWSBzA1yG0dd62LEe0o6TIRi9Aj3s7TzK+uBF1WfovD4ycRUSZra5vtLw2S+HmPGBKW4W0+2Vu89&#10;KnEQ7IkezF8fCz+ptOm4Gge05YhhYcJcmTQH6hoUq9U+KZEhTalpG3qA1dvKhoupcUALHJZZFs8m&#10;rBmWa2jRiGCNeYy9ijC0SBRXojx5TOrvdfmOwp4jbxHQRa6hynKhcMJl+9mG7cNUfiGmE7WAQjb0&#10;qA4JK8FhL2RzkWBftdpB7rr62GCZjUHlcozLg6fyZzhnp6M0Cy/s8BQ1UJQxUZwLGwzaPS0Fiuwh&#10;FJg+tyzYFemObONDnPlOvh1Wzdfer3g/jz8GNeSnn79Qwl3qimuY3dlC5ly3YMfzsoQxpRhyruoU&#10;9trLtaKj4fMy6tBnQuQLL++yGW3nAzjTQ2vki8WCDZ2FfkKVIQtBbRHrsDMvulMi9g2bIuwOtINT&#10;K6SsPDKCo61pxgFBjRFjph735i1IEWh8DU4pq5R4trNH0QK8BEiRXNBtog4rMfpH6z2JGyH5LBa5&#10;OotXiKHJqTPeN18/vp/IzH4/QUK64O/lcheWB48eu+dvb8lH6O5AhM3T8e1b0lLnBcbN2dqIJrow&#10;w+AI+e2LfSGv2+OidZGh7GYJFiH/652ZQRYS3+uj9DCqA6bAMMmLACmJXMI1jN1jBBeOUEcqGnHH&#10;RuIgjKfm8GiBbojblUjEyzH4ZoDX3I4x7roih7TQBhmLrqa7YcalFoib1kZrEO585rbMcqgOisf0&#10;Wh6sMUFOG8Y6fbsmPioDrUEmgw0LllDqHMhyg2cZ8bzGe2xEDETxqbT5S4eIj6jmF3Le1uwwn8K+&#10;8CmfJI6cT015aSoSpkQ2xrM7iXDNzjCDr7f7weyc28pZo/CUm88hIR4j9TmCMNko26q6oDovPQVf&#10;FyYDwTW/hlFa/E3aQdTrSrXl7QDW2BYKcsBcZjrUCRPvDUGol/qXM33uKL18FRdVqWP+jbbwTxtJ&#10;SuF5+Sgfixy1+jpoaDBy8XYd1eGW1u1Ct8wPoGNftFxxU8W2KjPDNFksh3OiY9yY0dez5KgInPLk&#10;HmY9NJHKIfiI56EbrbuIU19Ym/yBTwP4YuU2JMSdUHn1MVRNxwePxdmFJtf3VxPvFwDNPvNWAizV&#10;Kt6nB882jTmopOXD1tgA5VVm0XovzJRSJhmlHmu9vRpFTFgLK6QMrrJ0dHcI7DJDx9LzFVH/gO4I&#10;xeE2NiMBlZaIRin3OrguQ5u5oOKQtYjBm91miyOoAh6rTF+odqTMi0+AYM1UYQRx9JLDpL4U8VXK&#10;3JeCZNriG+pRK53ip85l+FMKJc6v1+mD0HHVg/o/vWQNIUvV7xq2dpB6X75iA8THt2z9CPequd9j&#10;RVCfUlyQvCSufjFKqBSfBlBjzAxN5ibnkz/hSaNV0VVR8uYW1q7IUTVB3xexddTbv19eG2aiPf/4&#10;TIu/9nXqK0apMKaqOS1Lj6FB2RHC3hqcDilED/0v3eh1EMxhPlQ2H7JSR6lHNhdtzCKbZVWC0pGs&#10;z2FDMvjjEUoaa1BsLVI1LRGqtZxrj6o4u8o3CwJiTnjijV2JgSukSVBft1pSogf7NCXNcTXqd7+a&#10;6MhdqmFOoUuHWQwVGpMGXbkWA4Uo6FfcetRgbiA0LefnN57rvprJZzB4hv9Kf5AR0VHHzjXSLM1m&#10;hTrOGX/0qajgZIWaW96nOXU2On+lUuzeC//CyD0aB/1q/mmSgxV6zWf5xw3rjjliaOq0iCVLD1h5&#10;U+chp6De1xwQAJGYk8f8RdFO/NOdU0JlrXlPS3wJyERzSEtUMGrhAW8klhD7rCz3aym15YYk1ET1&#10;0rRqwtYCqgMrA61bmrxpg1V43lEyQcO5C95+2uQMCg0kcYq83Hgb33Y+T3TRSkOaPpqdrBs2JpI0&#10;J4xbk182f2PmPesdFbmFe8xWlgmAZWWoB5q9PLOn7cHXrajQQiao4mRf6YqKIug1FsKgctgOOiHd&#10;8le7iE5lnUV17TrPaSS/qBB9EFQdWNzxDB49Hzlfn6hn2RTXltVSdbZ+eyu/IoVrxznTxbljMLqC&#10;SiCmc8Liqw+v8xxfs0fmgBLT1w/zlUxcXB5nHpE907wCQ3iDqVkNkcKChyv6DifceofKaYkpjZC2&#10;t9+dr5+/idttAbzSIE/XQ/nHJRnojHJ28QQ5vGAPdkHP1v7j7MNboWd3gc+qfWnN5POLm9464Yzg&#10;qGQTI1FCw9mIi8gnKwaQP05E+ooKPV2Y9hENnzVftzG3qwVH+8zosNFOK6hS9k4hfyjrG67bHvI+&#10;si8dXYnsVFSAVq7HuOc438Tj8/hzVUJNNOlMtxlECp4DgZYag3dcg/vw0O+XdraE2xZ1rbd1sD/e&#10;dp1BLW1vSSvlG85dnzVx514MOVfuCiiVByIJf9m6cvRxaFaN+HY1PhQ7GwQ9GGYfKspba3KBt6ee&#10;GzRZA4+JReD5sE7HVk2qcWcnnfDW4y1hf8Is+oDfpykmNxmKpTbugKCUSkzbhWcQKnYWSzdzvOGG&#10;N9/K4NfGGOYL9vVb1PSrNOwtqug7bt7MX+9HpHAdbQ4/LF+74uFsT1x+0I1nyfqWP8VLMq9xi0b2&#10;2Ke9AaU9QlOBS5jM0jD4o8IOzfQ2mXG8eQdWO/9xAYy4S61YXWszG4pPpulMAGMeRTrh1ERDeiP8&#10;NYdK9VUgbrAOCieQcZWi47HTEH5SkqGwtxN6VoN9GGZ1HMIsowuKc1wmn9MNmQQ8Q98An3apn4mA&#10;Vq9YXEp9XVSbhgTLp4+7W4+/oYuO9z9DtUyZDoljrAf4JLmwvS892BfUf9rPRorTclw3+zXnvWdL&#10;Y7pRfIv7uDahuVZemrXook6zeSyBtXu3Tl64lmpQA4nXull1LOcm3xqOCqDZ65r9XdnzJnNki4hh&#10;2X29B0X0tNEpMV637+SzTeuG2CZb5z8xj7aKxYgysY2PcHxKlZiEbs4c1FnSQXWVdDB1Xu2KNaE5&#10;8T4QzduvIiUWUV4TZ4iFkw951bT8tX1SiF1BjyflQTjUBDEZtrd+zYOgMwG3J+4G+lVNK4YV7+xS&#10;d1Oe9Je6b7+pFHZAI7Z4T/iaogxBiRGZt9dv0WzrWbOONAv2IpF+bqNXu11da1IdE//gqgv2cuJc&#10;kOY4c82BKESr5Nz8nBWuWdlH2ybns6jp3PbPTxa0any776ixG1KmLBp0bMvM1h4bWFzD3mkaGx50&#10;wt3y7JxqLFikpzzBuHspeMdQw9LnT3W2cqvDXlbZ5+fbfxZSaUx1jfsVl9CfP8yVUKA9VwfCqLyC&#10;chbqvYaxIZ51WWNnIprO0J3cV+RLw4gbYCGnT0GGSZGiALxPJ6U/xxjurvihJLXe7B7cCgROSiJX&#10;Brfek0TxdMJMjugVKAaX87OpJV5ekRe6okTwFB4cDrvtXU2PPXRlKRM7ZbBw8p/tluShAw8rNwN0&#10;nASicdT87iqASoUaKSndqaz5BZIQfkA/S/zPX40NH8GV0lK5SY13EcdpIfTJP0Ygjtw0fhBR6UHK&#10;0t8uwoor8wp1HQpSkgz0EBanS+31KKUMIQ+KTIZxM4+sOj8O2FcrNKz2xEz9cxiUrJWEbFEnEQqE&#10;JMwDQe1ogH51SGVPeaG6rY5rnehRbfluXzi9pc8TwBwnMtZIgTaGCow7ZDHAN3nGh7qjBLtWgKp6&#10;C2i/MMGEXP9J7HBPINMd9fkcKao2bJMKojARUtlytS4EU1nuO88THDu16aZ8vST0dMLGzb1LisGw&#10;fh2a6AUhnS+7vdJh5RMkaE+tmNpkFE96TrVDDcaEeA9ivZ6R6tJkQUDd1YeYk91eWgGDSL04UIyL&#10;SFcX0NUd9iVzkDBFBKAsYJY3AqlDA0Ruuj3qd4Iftz0CUtDiUZ4EoFAFbNKuIBOJcQ0TiUmfOeuF&#10;M+p6NA2GBLwUlcF7IvjOYfyVGq6CDEwqGuFrIVpMGWT7/mYLWekCjhIx1nx5bOWEtPhtGCoiAxzT&#10;qq0vaDzSSZe7n0fFETgBImkmDJOi4UyfcldsArRdlDISzW+JqGkhc3hLyTqIyF9xwH/WyEFF6NsD&#10;Ut0CkyEDEYrrWp+J4vALOZhqf8ExsO4nQ+5VBKIMbkZz4zt1wD6KglsXpe3DcJtnzjh3SmZMxZRL&#10;tHgUDZet43aBTSj1gWesNPHtiSiyAE3sJRqmeGocpcqBESBbRVk5nWKbgBjqNbuC2BFKl6ZSJOJq&#10;dj2e0QTUSCWnPcSDTdOmIU9oKt5H2TCYOjmJIpxTCgqD4YiWLDSkT9iUVFIaKXCluG26GC0pQxL0&#10;FxFjaQin6vKTsUUMYKKnYRCeZDz1R7IzDxaR44EZhlHF426YVlWF0V5UZc5vbWsPgVD9YjYyLJvq&#10;PWxILS+wggANrz+YzJEIJXNMfiKyxd5wksCpsVis3tfvXovNUt6TztKAUEWMZujGRYKkV4sAXDRj&#10;ZKL8JoubcIK8hWkvoO06YXAzSBIU19MB7fkeMio8NJNpbytpMM4cfWkqTXN+78PpM1KuQ0xuyXxY&#10;szs/Xs/r2bgyYUVTjIfNKItrKSlsZUtTs/VvXhiO3jp6f7tafZN3VZTlw+m9z4FKTfeZ+aVqcyKB&#10;J5Btjk80ZzxzMf2TZ7xM9mWMvAhLegRXgog+wYsuZar8QKW9Rb+ztb21BcMMv4vAZXJy9hd9rVgz&#10;ibNiuE9CNuSsPJABOiNrx0kwTC8JLrcL2SvJP0mgvdNiDsuSVtK1ZOyLtCLTNC4JusoSKDrPVPLv&#10;ZTfO3oiRp3O+uI5TftQy0+kf39X/PBp5ZbB/2oMmy59b4PLLye2bY/SltIwa+qfS+LPbnbdeXtdC&#10;HHRP4Z8xFCfhU7BK00Y1FTqscVExFZKSZvkdwaMWS4eY0ieYi0/fjpPcAI4+nhtlKwh/I3yQvC3u&#10;v/SISyyci5r8KcJwTc/EXK/yI84ZXfSnG6YE754L5o6LQmaPv6kPJERGClILD8E0DDliJZDLNTcL&#10;mhtw32h+SbC4l4LG2DBWFjtKvKWMHcBhW5f/kj3nmUCsGGqpwaAhZQ77ujHMljo5jb+fn1NWxNDb&#10;QEI5pITtoqZCfy/W5qvWNxkfZ+I6TWvZvSGqxbjr5IJYK6bZ874MJ+TRHgvOsVcsY+rDoqmqj38j&#10;q0MmL47PuD328NrpRDTw4XsjK0qyoJhkfLSMKGCYOaJAFahs337z9ZACNJYhNVVajtp4VSzt8GAt&#10;AaYCgKQp/t2Ku4gE7GQ/fW5SRFBZgiwcpFrxm1c7rwnS7Lmo2jmmWFvemnYkLPHLbrI8QNVMMs6o&#10;xaAHjnyBUZg1doBMIadHgi0X60Khpw/Qd0CCTTtctjL169lTCnk56uHAxW5u5J0iFtNDPKBRnyOf&#10;us0EEOFwBDczAbQ4Rlg0KZxnVdFEQwTKy7stkj49ic1QcAfprXAFJHIsrFiZNs46Jl4+R6k/CxLv&#10;eI6n39dlfhmBsb5ne+YNBTdV7FEoPq+VIeTfPb57sh11Zls0oexmWwevTv+h4s58KT4sfvxDaJj9&#10;AY6jWwncuvEyym4NrqG5oZvL7S3qdT2SGpXXbPreGNkAPT+//x2/F324i9G40bUXTNxBl6EtUQvx&#10;Da6A7tjZmdKEnrV6k461xlhJVcOO7kdr17LWhvYFa80xq/MXrI9zsvJbfSy0zP1S7NbOesmQQg+9&#10;SEm4kULFm/Zf3Ri1uBVkXHMS0zYTeTpoyGQULFcdmhDrX4gs582rQX5Y8/8qQWUsnNZ0KQy+PPnp&#10;cdIN1vuTgq5N7X9enTpbGDkBTJ+6OFnamX93PF3jR+R6RfBCzoH7rKOLStjYdEnbYgeIJ5ChLjZQ&#10;byg3snAW3hEyq9LJ7PQgFxhXIFsi47BI+uJnsOlfIg0AsZGY0Zeau3JCMrqkH2IG4coRsmwwRge7&#10;9OTSyHMvftIy1OpHwH4huRem+sFDE4K5+pIPKVsl5fkzE80SWmUE3koE3rUemaFomxDHLnXqVaxA&#10;Wpw2hEoM+oM3iYCK+ABvLAoaRnnAKiB6ePojc1SD8BitR7QS9RGGI036OL9I38NA/FwJNjk/4ge4&#10;hDylLVOEhoZjUM6eVYahhYfFcfx3NR1CJGO1nNv5Td7by12cYd8+P7ZdStvoenXiYpuvW1F1LO47&#10;8y7o27k1065w2toopf1TNf8LH6XpvW1pV/95+dreD+i/AmpQcN3MCQLzAETg+PYf96fG9vbW36Mu&#10;CfrKPazYofuK1+hjzS9iu1GwuHOfUPCEwvTttGTWhFbazn+eNNyfw+mTrxo3z2rb3DX2tOK8kiBN&#10;5uKLlkZk5Sx4PvzV2eOj0NJoQAhtNPY8wegKMjRj1E6ZpPXNSu88NEUAIt9btha+zZzyGkwjU2KC&#10;l2qzPOSq2+eCvHFioQRs3C+LZJ1GCHNQUIKb79B7NZ7TH06lDMIpEpGRNIRTCr8dhqXFeT79mpDZ&#10;uKdZcyp+LwmuUDJcWVUymU+huJ7JgACf1d8FXbrA0otHVnW5fz/BWlnSfVfJiJD5ptK0gn26cV9u&#10;gD/MhVt+qDfnHGhlKF3LNVYoO7jqj9eO2feFgqN9WNF8PJVo/3NksMreZiRWZ+JqpoOfBpJ+5eMd&#10;sU7eDDPLWVutGMLTmFGT5703B1vX2v3fAf59UACcZGDoBLC5fzHtzevWBo7iLoEup8FJBz94mMGc&#10;FYkTcn2sGAPgsOJGh6L7Q8w5Fxbyr4qmvgGpCneT1A8StXc72kWfML5tgY9Lu9xIX/IxbSVcIDNg&#10;K4xtA7o+AYrYD7l1PDnw8dBaAMqUt7+D9lRz6IFp/XJkfBUctCGYPM9MmaDvozrJHiZAl2Q5ta2m&#10;IpIlwCVZxCdsQhHE3W6nYjd8JDWQRaKiKNi/SB/u3QrnyBvSdmlvX7ozvvw4LU98goNhTS0hw9Um&#10;/mF0kE/eh06MU0k4OL4JJ1ehkX13ubDyCjMmVEm9kNSnkZ/W9TodGdMG9ZRII6myxy5FZmY2e7oT&#10;pnTrR2T4g6lyd+4o2Qf71lI8hbgMZZyOmMrcwYv191j+cXX6OzjXD0CXPSAYW0BwEoBq0Jr+wQaO&#10;DPy5sv9E16qXFWVgP6g9aMrXcTqGTSrDYCD7fYU3hAmDv4UxvLxuelPWUI52tssLPZSs4M59mpGP&#10;C837b9GprUxYVUz5aFGYv3G/hetA20dnyQ63PWiMgkSNlqlm2N9vJP2gnSL/th6azhHRNNuIxKCB&#10;+v0ze7ooaLhtNbbTFMlCHfRZYtsYr6TNCf6b0wCnlZKzRZH5KxqVMMf4tbt2E/UGtKXcqz22g+cI&#10;ijGKW8J8bzwoB7jfDcHhrCuEixqGeeo9DB1UMnAuTD2puBh7ecgo0MPnm+jFH6WL0v8SpSg19i3Z&#10;0agjXYKNPD8uXvuF4/r3++XfY/lHEOpvgZPfwVr86hSiAQQnFchUUPyA9R8SP4Mo3/ENietG6mHF&#10;kNgH3mGc2U17YSQUtodPlm3Bl283ojbKDklNdfIsS4oecH5FuzIrsiI5ptzDnvMqykmGRXAacJ9F&#10;JRgv6rVCBj5oQaPZl+lNwnvp1Vwcy2k0LC0430X+lMga7ymSQMGHaE4KedIhQNG540DyIG9xwEYk&#10;dInrExu1a1ORm35s26JHjfqIn09Q+C6FP563c9Wfb3AnyQuTq/WMSOCHO2bniw6fhy6pDl8zFreo&#10;Gq5/wf3VQPI/kKN1Bo04BhQ0AgdJdcXt7VwAdi6Gap4OAGd9sJGsSFa072FFCd1POiMt1Sviru7l&#10;VMRGu+K1kzERJpNHibFIouVGub35BJEkEo3eXaBOeOVrIKDkFST51Nw53KKdQbJpKxzl1dlAiyxd&#10;h5T9Zd5QfDJH6RmaXA0MdtDtrqJ9PUoAvrkAo6Qkdma+hL5oXvUBJFFVtK8N9qH5q6HsEzVFkUV3&#10;fnRVb+ll2iIN8RNvFlaNupe172HvDPgiVPKGMjUDmcqw6YPnrSS/qo1nzOWsWYt1p9HBMRAexNoi&#10;NL+YrLxG19r0dbDO5YpHVc93f1eNatlGIkWqUpvzuXqYJN1PsJFAy2TWARnJQp772VFXIsabnqzN&#10;IJtdilfoSyfFY0LpvOJHY5ejGUDXRD7MjmIqDXrgZf7QgwjcGTYJFTgGCKsvxvLeHPRX84vfsgGo&#10;mjzxEnHxsr4c2oWa58PEMrmDFz7FoqpXbURZprEQ/j6v/LyF250qLN9HSWm7QwnDUiiTKg+vq9vH&#10;6esaYi1exG+z796BkgcgobC/B09/ZGfcnyXQRIHS9shAn6Sgj9/M2Y8Ofr8dwGb6R8EAVYZEfxrk&#10;+0rvm22wzA+lQX/JfN8G/6YMbMd+FIw/6r/C8Pf13U9BAfP/0EcDevpL7I+ElPvS9zMsfkqHgpb3&#10;X9J/5lvcF7+fLPBT/BvIzP4U/yt14N8GDQ6f/ygYoIoO5ruN/jeBX1EqI/6bUb//ovetP1jPD5Sm&#10;/y72j7Pgfj/3Xc2f/VTgf1f/D8fzfg/3r0d/9iAAcrV+uSz9t7H/WKRgYQwQyf0A66/Egl/3wf3U&#10;ArDUj8E7/SL3M9Hg3zT/iroDKDcS9NJ/Bit/VXw/XPlT8Yu/i/0MXt4H674j+rODW9AZfs8t/beX&#10;BmcB/CgYoKoDZLb/EP4rJwD85r/f+eCD8EfBAFXnJPdl/zwWfx37/YMR3MMP0OlIf9/DvWPyPhb3&#10;ExV+dvjlH8P52ZWKPOx3y/UQlJCKDeLrfQSW+9/yDwT+D1BLAwQKAAAAAACHTuJAAAAAAAAAAAAA&#10;AAAACwAAAGRycy9jaGFydHMvUEsDBBQAAAAIAIdO4kCWjhm4QgQAAMIJAAAVAAAAZHJzL2NoYXJ0&#10;cy9jaGFydDEueG1snVbBbiNFEL0j8Q/DKDeUjMcbljDKeOVMFLQi7Frx7t7LM2W7lZ7u2e52YufE&#10;BfEDOcIFiRuCC0KC/8lK+xdUdY+dsRNg4WJ3V1dVv1dVXTXHz5a1jK7QWKFVHqcHvThCVepKqFke&#10;v351tn8UR9aBqkBqhXm8Qhs/G3z80XGZlXMwbtxAiRE5UTYr83juXJMliS3nWIM90A0qOptqU4Oj&#10;rZkllYFrcl7LpN/rPU28k7h1AP/DQQ1Cre3Nh9jr6VSUeKrLRY3KBRQGJTiKgJ2LxsYDIleBw/SL&#10;3mF0BTKPe3HCQglqFgQ38/3iRRAavVAVVoU2isLY0a/LbCgdGkWuCq0c3dbyrD8oUjWYy0WzX+q6&#10;IXATIYVbebgEkHwXc008ogt8uxAGbR6X6eE6ELR8EIpalEZbPXUH5DEJUVhng91+nhwl/TYfRDY9&#10;zKxbSQyE0l6f2Sabez2EM5ByAuUlx6ajvFG9P2fD3WCwlU8/L2Dh9CvhJJ6iRIdVe20IcSO1GxoE&#10;VpSw0gvn09EILLgGWXwFZlVoqdcZSIOlRcOnolp2ElNm2lRotiRuyXrWmQuc8mo6GM8RXfrJ3sle&#10;epywIJwXQLXN68YVlHm3DdRFdBXXC2tcDd7ffnN3+8v7H39gD1cUPzbzf3RT64lk62tpGXDgkijz&#10;k9zCWI081V0yk8VkIvHJaUeXHLXKuzZtXP7Z5nwiLROofC46DNnv+rAEj2aNvRuy4V4/2xvuPfn3&#10;uPlS4aBsx+3d9z/f/fHbu9vf7779aTt097ppG+O17q933/25rRsi+2iYW/D0uJmnWtSPpJ04nHQ4&#10;kNIm96GhFbrCwZdIzx6kp+rbnJfu1sff8Ez7R0cH/W3UDxmm/fSzg6eH22pE7h5R2HgOtPSsmHwo&#10;/k3G7Fxfn+MMVfUVrjrVQpp08gZoEHSaHcsKcC+gbntA2wRZPkbzqHyEpuQ2t+vnxJfoWNw8dHWO&#10;QG/xXChse6evUEK/gT0VxrqxpGY3XLdfD4V07jsAb7pdwtPk3Eq/GunWuwl9odNFNE0/2m5hdssR&#10;9Q3IJrpajUxktOM3HdmmPGMw52DdCAyNKxKSuXtJP1Opr/MYpaQRImyQUxPW5iaOrg00eWzfLsBg&#10;HIEqSUwN25n1pnC098whk8SWOy/1OMga/xPQVDi9IDQ8hfI4TKDI3pBdr0c4Jh6N8L+LPFY0rnl0&#10;G3FJY1vpsV/F0SUNJDKhhk8mYFFS5NmG77FaiupMSHoUtDGzSSHXXZKuIAseATtqPDhV5FYNTulL&#10;II8/rdW+dKwJGcLOAUI4KO3OQWlb34Gjv6Zh1nQdhYCyG1JCi5BQTi0n/I2wL5Vss9c2t0rY5oSi&#10;dGmHbdZn0LD/UOin3ME4Y19DdyqQ68002s6/5/JfshLC9Bj+MsOl/ySQp+AgMjSZ8tg8r0Iz4yH4&#10;uuFPj041Eq6ujQ+GB+o/vQ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lmqNcAAAAAxAQAAIAAAAGRycy9jaGFydHMvX3JlbHMv&#10;Y2hhcnQxLnhtbC5yZWxzhc/BSgQxDAbgu+A7lNxtZjwsItPZiwh7EmR9gE6bmek6TUtTZfftrSdd&#10;EDyGJN/PP+zPcVOfVCQkNtDrDhSxSz7wYuDt+Hz3AEqqZW+3xGTgQgL78fZmeKXN1vYka8iimsJi&#10;YK01PyKKWyla0SkTt82cSrS1jWXBbN27XQjvu26H5bcB45WpDt5AOfge1PGSW/L/dprn4OgpuY9I&#10;XP+IwLTRy3QiVxtqy0LVgNZIcSL/3Vh+Dno9BQYcB7wqOn4B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6FcwiEBAAC+AgAAEwAAAFtD&#10;b250ZW50X1R5cGVzXS54bWyVks1OAjEUhfcmvkPTraEdWBhjGFg4uBRj8AFKe4ep9i9tGeDtvQzD&#10;xjgCq6a9Pd8597bT+d4a0kJM2ruSjllBCTjplXabkn6uXkdPlKQsnBLGOyjpARKdz+7vpqtDgERQ&#10;7VJJm5zDM+dJNmBFYj6Aw0rtoxUZt3HDg5DfYgN8UhSPXHqXweVRPjLobFpBLbYmk8Uej09J1tpR&#10;8nK6d7QqqQjBaCkyBuWtU79MRr6utQTl5dYimnkDy/UXyEz5n/wIJt1m0HfAUNmFSI0O6QHbHHA4&#10;VoY76HVLHH3UCsi7iPlNWOyTq5i4bHDfL2P2P+ryMFQUO3xQa1jHPYceMld+5yK0V9ja1M+dVTFV&#10;KPuA9hIdJr7y8lb4olOd2bz7fbMfUEsBAhQAFAAAAAgAh07iQP+hXMIhAQAAvgIAABMAAAAAAAAA&#10;AQAgAAAAEy0AAFtDb250ZW50X1R5cGVzXS54bWxQSwECFAAKAAAAAACHTuJAAAAAAAAAAAAAAAAA&#10;BgAAAAAAAAAAABAAAAC2KQAAX3JlbHMvUEsBAhQAFAAAAAgAh07iQIoUZjzRAAAAlAEAAAsAAAAA&#10;AAAAAQAgAAAA2ikAAF9yZWxzLy5yZWxzUEsBAhQACgAAAAAAh07iQAAAAAAAAAAAAAAAAAQAAAAA&#10;AAAAAAAQAAAAAAAAAGRycy9QSwECFAAKAAAAAACHTuJAAAAAAAAAAAAAAAAACgAAAAAAAAAAABAA&#10;AAABLAAAZHJzL19yZWxzL1BLAQIUABQAAAAIAIdO4kCrFs1GswAAACIBAAAZAAAAAAAAAAEAIAAA&#10;ACksAABkcnMvX3JlbHMvZTJvRG9jLnhtbC5yZWxzUEsBAhQACgAAAAAAh07iQAAAAAAAAAAAAAAA&#10;AAsAAAAAAAAAAAAQAAAAGCUAAGRycy9jaGFydHMvUEsBAhQACgAAAAAAh07iQAAAAAAAAAAAAAAA&#10;ABEAAAAAAAAAAAAQAAAA1CoAAGRycy9jaGFydHMvX3JlbHMvUEsBAhQAFAAAAAgAh07iQA5ZqjXA&#10;AAAAMQEAACAAAAAAAAAAAQAgAAAAAysAAGRycy9jaGFydHMvX3JlbHMvY2hhcnQxLnhtbC5yZWxz&#10;UEsBAhQAFAAAAAgAh07iQJaOGbhCBAAAwgkAABUAAAAAAAAAAQAgAAAAQSUAAGRycy9jaGFydHMv&#10;Y2hhcnQxLnhtbFBLAQIUABQAAAAIAIdO4kCURpq+1gAAAAoBAAAPAAAAAAAAAAEAIAAAACIAAABk&#10;cnMvZG93bnJldi54bWxQSwECFAAUAAAACACHTuJAi7b1tgcBAAA4AgAADgAAAAAAAAABACAAAAAl&#10;AQAAZHJzL2Uyb0RvYy54bWxQSwECFAAKAAAAAACHTuJAAAAAAAAAAAAAAAAADwAAAAAAAAAAABAA&#10;AABYAgAAZHJzL2VtYmVkZGluZ3MvUEsBAhQAFAAAAAgAh07iQMqGOElYIgAAAC4AAB0AAAAAAAAA&#10;AQAgAAAAhQIAAGRycy9lbWJlZGRpbmdzL29sZU9iamVjdDEuYmluUEsFBgAAAAAOAA4AaQMAAGUu&#10;AAAAAA==&#10;">
            <v:path/>
            <v:fill on="f" focussize="0,0"/>
            <v:stroke on="f"/>
            <v:imagedata r:id="rId10" o:title=""/>
            <o:lock v:ext="edit" aspectratio="t"/>
          </v:shape>
          <o:OLEObject Type="Embed" ProgID="Excel.Sheet.8" ShapeID="_x0000_s1027" DrawAspect="Content" ObjectID="_1468075726" r:id="rId9">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lang w:eastAsia="zh-CN"/>
        </w:rPr>
        <w:t>（二）</w:t>
      </w:r>
      <w:r>
        <w:rPr>
          <w:rFonts w:hint="eastAsia" w:ascii="楷体_GB2312" w:eastAsia="楷体_GB2312" w:cs="DengXian-Bold"/>
          <w:b/>
          <w:bCs/>
          <w:sz w:val="32"/>
          <w:szCs w:val="32"/>
        </w:rPr>
        <w:t>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一般公共预算财政拨款收入1288.20万元，完成年初预算的91.33%,比年初预算减少122.36万元，决算数小于预算数主要是项目支出减少；本年支出1215.64万元，完成年初预算的86.18%,比年初预算减少194.92万元，决算数小于预算数主要是项目支出减少。</w:t>
      </w:r>
    </w:p>
    <w:p>
      <w:pPr>
        <w:widowControl/>
        <w:spacing w:line="540" w:lineRule="exact"/>
        <w:ind w:firstLine="640" w:firstLineChars="200"/>
        <w:jc w:val="left"/>
        <w:rPr>
          <w:rFonts w:hint="default" w:ascii="仿宋" w:hAnsi="仿宋" w:eastAsia="仿宋"/>
          <w:b/>
          <w:bCs/>
          <w:sz w:val="32"/>
          <w:szCs w:val="32"/>
          <w:lang w:val="en-US" w:eastAsia="zh-CN"/>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w:t>
      </w:r>
      <w:r>
        <w:rPr>
          <w:rFonts w:hint="eastAsia" w:ascii="仿宋" w:hAnsi="仿宋" w:eastAsia="仿宋" w:cs="仿宋"/>
          <w:sz w:val="32"/>
          <w:szCs w:val="32"/>
        </w:rPr>
        <w:t>度一般公共预算</w:t>
      </w:r>
      <w:r>
        <w:rPr>
          <w:rFonts w:hint="eastAsia" w:ascii="仿宋" w:hAnsi="仿宋" w:eastAsia="仿宋"/>
          <w:sz w:val="32"/>
          <w:szCs w:val="32"/>
        </w:rPr>
        <w:t>财政拨款</w:t>
      </w:r>
      <w:r>
        <w:rPr>
          <w:rFonts w:hint="eastAsia" w:ascii="仿宋" w:hAnsi="仿宋" w:eastAsia="仿宋" w:cs="仿宋"/>
          <w:bCs/>
          <w:sz w:val="32"/>
          <w:szCs w:val="32"/>
        </w:rPr>
        <w:t>本年</w:t>
      </w:r>
      <w:r>
        <w:rPr>
          <w:rFonts w:hint="eastAsia" w:ascii="仿宋" w:hAnsi="仿宋" w:eastAsia="仿宋"/>
          <w:sz w:val="32"/>
          <w:szCs w:val="32"/>
        </w:rPr>
        <w:t>收入</w:t>
      </w:r>
      <w:r>
        <w:rPr>
          <w:rFonts w:hint="eastAsia" w:ascii="仿宋" w:hAnsi="仿宋" w:eastAsia="仿宋"/>
          <w:sz w:val="32"/>
          <w:szCs w:val="32"/>
          <w:lang w:val="en-US" w:eastAsia="zh-CN"/>
        </w:rPr>
        <w:t>702.35万元，</w:t>
      </w:r>
      <w:r>
        <w:rPr>
          <w:rFonts w:hint="eastAsia" w:ascii="仿宋" w:hAnsi="仿宋" w:eastAsia="仿宋"/>
          <w:sz w:val="32"/>
          <w:szCs w:val="32"/>
        </w:rPr>
        <w:t>较201</w:t>
      </w:r>
      <w:r>
        <w:rPr>
          <w:rFonts w:hint="eastAsia" w:ascii="仿宋" w:hAnsi="仿宋" w:eastAsia="仿宋"/>
          <w:sz w:val="32"/>
          <w:szCs w:val="32"/>
          <w:lang w:val="en-US" w:eastAsia="zh-CN"/>
        </w:rPr>
        <w:t>8</w:t>
      </w:r>
      <w:r>
        <w:rPr>
          <w:rFonts w:hint="eastAsia" w:ascii="仿宋" w:hAnsi="仿宋" w:eastAsia="仿宋"/>
          <w:sz w:val="32"/>
          <w:szCs w:val="32"/>
        </w:rPr>
        <w:t>年初预算</w:t>
      </w:r>
      <w:r>
        <w:rPr>
          <w:rFonts w:hint="eastAsia" w:ascii="仿宋" w:hAnsi="仿宋" w:eastAsia="仿宋"/>
          <w:sz w:val="32"/>
          <w:szCs w:val="32"/>
          <w:lang w:eastAsia="zh-CN"/>
        </w:rPr>
        <w:t>减少</w:t>
      </w:r>
      <w:r>
        <w:rPr>
          <w:rFonts w:hint="eastAsia" w:ascii="仿宋" w:hAnsi="仿宋" w:eastAsia="仿宋"/>
          <w:sz w:val="32"/>
          <w:szCs w:val="32"/>
          <w:lang w:val="en-US" w:eastAsia="zh-CN"/>
        </w:rPr>
        <w:t>15.42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2.15</w:t>
      </w:r>
      <w:r>
        <w:rPr>
          <w:rFonts w:hint="eastAsia" w:ascii="仿宋" w:hAnsi="仿宋" w:eastAsia="仿宋"/>
          <w:sz w:val="32"/>
          <w:szCs w:val="32"/>
        </w:rPr>
        <w:t>%，主要原因是</w:t>
      </w:r>
      <w:r>
        <w:rPr>
          <w:rFonts w:hint="eastAsia" w:ascii="仿宋" w:hAnsi="仿宋" w:eastAsia="仿宋"/>
          <w:sz w:val="32"/>
          <w:szCs w:val="32"/>
          <w:lang w:val="en-US" w:eastAsia="zh-CN"/>
        </w:rPr>
        <w:t>2018年10月审批局整体搬迁至祁各庄镇创业大厦，剩余的物业费和电费等未支出</w:t>
      </w:r>
      <w:r>
        <w:rPr>
          <w:rFonts w:hint="eastAsia" w:ascii="仿宋" w:hAnsi="仿宋" w:eastAsia="仿宋"/>
          <w:sz w:val="32"/>
          <w:szCs w:val="32"/>
        </w:rPr>
        <w:t>；本年支出</w:t>
      </w:r>
      <w:r>
        <w:rPr>
          <w:rFonts w:hint="eastAsia" w:ascii="仿宋" w:hAnsi="仿宋" w:eastAsia="仿宋"/>
          <w:sz w:val="32"/>
          <w:szCs w:val="32"/>
          <w:lang w:val="en-US" w:eastAsia="zh-CN"/>
        </w:rPr>
        <w:t>682.53万元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15.42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2.15</w:t>
      </w:r>
      <w:r>
        <w:rPr>
          <w:rFonts w:hint="eastAsia" w:ascii="仿宋" w:hAnsi="仿宋" w:eastAsia="仿宋"/>
          <w:sz w:val="32"/>
          <w:szCs w:val="32"/>
        </w:rPr>
        <w:t>%，主要原因是</w:t>
      </w:r>
      <w:r>
        <w:rPr>
          <w:rFonts w:hint="eastAsia" w:ascii="仿宋" w:hAnsi="仿宋" w:eastAsia="仿宋"/>
          <w:sz w:val="32"/>
          <w:szCs w:val="32"/>
          <w:lang w:val="en-US" w:eastAsia="zh-CN"/>
        </w:rPr>
        <w:t>2018年10月审批局整体搬迁至祁各庄镇创业大厦，剩余的物业费和电费等未支出</w:t>
      </w:r>
      <w:r>
        <w:rPr>
          <w:rFonts w:hint="eastAsia" w:ascii="仿宋" w:hAnsi="仿宋" w:eastAsia="仿宋" w:cs="仿宋"/>
          <w:sz w:val="32"/>
          <w:szCs w:val="32"/>
          <w:lang w:val="en-US" w:eastAsia="zh-CN"/>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drawing>
          <wp:anchor distT="0" distB="0" distL="114300" distR="114300" simplePos="0" relativeHeight="251662336" behindDoc="0" locked="0" layoutInCell="1" allowOverlap="1">
            <wp:simplePos x="0" y="0"/>
            <wp:positionH relativeFrom="column">
              <wp:posOffset>694055</wp:posOffset>
            </wp:positionH>
            <wp:positionV relativeFrom="paragraph">
              <wp:posOffset>81280</wp:posOffset>
            </wp:positionV>
            <wp:extent cx="4683760" cy="2046605"/>
            <wp:effectExtent l="4445" t="4445" r="17145" b="6350"/>
            <wp:wrapNone/>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drawing>
          <wp:anchor distT="0" distB="0" distL="114300" distR="114300" simplePos="0" relativeHeight="251661312" behindDoc="0" locked="0" layoutInCell="1" allowOverlap="1">
            <wp:simplePos x="0" y="0"/>
            <wp:positionH relativeFrom="column">
              <wp:posOffset>-1008380</wp:posOffset>
            </wp:positionH>
            <wp:positionV relativeFrom="paragraph">
              <wp:posOffset>-7505700</wp:posOffset>
            </wp:positionV>
            <wp:extent cx="5464175" cy="699770"/>
            <wp:effectExtent l="4445" t="4445" r="17780" b="1968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0"/>
        </w:numPr>
        <w:adjustRightInd w:val="0"/>
        <w:snapToGrid w:val="0"/>
        <w:spacing w:after="0" w:line="580" w:lineRule="exact"/>
        <w:rPr>
          <w:rFonts w:ascii="楷体_GB2312" w:eastAsia="楷体_GB2312" w:cs="DengXian-Bold"/>
          <w:b/>
          <w:bCs/>
          <w:sz w:val="32"/>
          <w:szCs w:val="32"/>
        </w:rPr>
      </w:pPr>
    </w:p>
    <w:p>
      <w:pPr>
        <w:numPr>
          <w:ilvl w:val="0"/>
          <w:numId w:val="0"/>
        </w:numPr>
        <w:adjustRightInd w:val="0"/>
        <w:snapToGrid w:val="0"/>
        <w:spacing w:after="0" w:line="580" w:lineRule="exact"/>
        <w:rPr>
          <w:rFonts w:ascii="楷体_GB2312" w:eastAsia="楷体_GB2312" w:cs="DengXian-Bold"/>
          <w:b/>
          <w:bCs/>
          <w:sz w:val="32"/>
          <w:szCs w:val="32"/>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682.53</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如：</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631.45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92.52</w:t>
      </w:r>
      <w:r>
        <w:rPr>
          <w:rFonts w:hint="eastAsia" w:ascii="仿宋_GB2312" w:eastAsia="仿宋_GB2312" w:cs="DengXian-Regular"/>
          <w:sz w:val="32"/>
          <w:szCs w:val="32"/>
        </w:rPr>
        <w:t>%；社会保障和就业支出</w:t>
      </w:r>
      <w:r>
        <w:rPr>
          <w:rFonts w:hint="eastAsia" w:ascii="仿宋_GB2312" w:eastAsia="仿宋_GB2312" w:cs="DengXian-Regular"/>
          <w:sz w:val="32"/>
          <w:szCs w:val="32"/>
          <w:lang w:val="en-US" w:eastAsia="zh-CN"/>
        </w:rPr>
        <w:t>25.66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3.76</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10.03万元，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1.47</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住房保障支出</w:t>
      </w:r>
      <w:r>
        <w:rPr>
          <w:rFonts w:hint="eastAsia" w:ascii="仿宋_GB2312" w:eastAsia="仿宋_GB2312" w:cs="DengXian-Regular"/>
          <w:sz w:val="32"/>
          <w:szCs w:val="32"/>
          <w:lang w:val="en-US" w:eastAsia="zh-CN"/>
        </w:rPr>
        <w:t>15.39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2.25</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3360" behindDoc="0" locked="0" layoutInCell="1" allowOverlap="1">
            <wp:simplePos x="0" y="0"/>
            <wp:positionH relativeFrom="column">
              <wp:posOffset>420370</wp:posOffset>
            </wp:positionH>
            <wp:positionV relativeFrom="paragraph">
              <wp:posOffset>147320</wp:posOffset>
            </wp:positionV>
            <wp:extent cx="4937760" cy="1951990"/>
            <wp:effectExtent l="5080" t="4445" r="10160" b="5715"/>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631.45</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230.71</w:t>
      </w:r>
      <w:r>
        <w:rPr>
          <w:rFonts w:hint="eastAsia" w:ascii="仿宋_GB2312" w:eastAsia="仿宋_GB2312" w:cs="DengXian-Regular"/>
          <w:sz w:val="32"/>
          <w:szCs w:val="32"/>
        </w:rPr>
        <w:t>万元，主要包括基本工资、津贴补贴、奖金、绩效工资、机关事业单位基本养老保险缴费、职工基本医疗保险缴费、住房公积金、其他社会保障缴费、其他工资福利支出等；</w:t>
      </w:r>
      <w:r>
        <w:rPr>
          <w:rFonts w:hint="eastAsia" w:ascii="仿宋_GB2312" w:eastAsia="仿宋_GB2312" w:cs="DengXian-Regular"/>
          <w:sz w:val="32"/>
          <w:szCs w:val="32"/>
          <w:lang w:eastAsia="zh-CN"/>
        </w:rPr>
        <w:t>对个人和家庭的补助支出</w:t>
      </w:r>
      <w:r>
        <w:rPr>
          <w:rFonts w:hint="eastAsia" w:ascii="仿宋_GB2312" w:eastAsia="仿宋_GB2312" w:cs="DengXian-Regular"/>
          <w:sz w:val="32"/>
          <w:szCs w:val="32"/>
          <w:lang w:val="en-US" w:eastAsia="zh-CN"/>
        </w:rPr>
        <w:t>50.32万元，主要包括助学金、奖励金等；</w:t>
      </w:r>
      <w:r>
        <w:rPr>
          <w:rFonts w:hint="eastAsia" w:ascii="仿宋_GB2312" w:eastAsia="仿宋_GB2312" w:cs="DengXian-Regular"/>
          <w:sz w:val="32"/>
          <w:szCs w:val="32"/>
        </w:rPr>
        <w:t>公用经费</w:t>
      </w:r>
      <w:r>
        <w:rPr>
          <w:rFonts w:hint="eastAsia" w:ascii="仿宋_GB2312" w:eastAsia="仿宋_GB2312" w:cs="DengXian-Regular"/>
          <w:sz w:val="32"/>
          <w:szCs w:val="32"/>
          <w:lang w:val="en-US" w:eastAsia="zh-CN"/>
        </w:rPr>
        <w:t>137.41万元，主要包括</w:t>
      </w:r>
      <w:r>
        <w:rPr>
          <w:rFonts w:hint="eastAsia" w:ascii="仿宋_GB2312" w:eastAsia="仿宋_GB2312" w:cs="DengXian-Regular"/>
          <w:sz w:val="32"/>
          <w:szCs w:val="32"/>
          <w:lang w:eastAsia="zh-CN"/>
        </w:rPr>
        <w:t>办公费、印刷费、咨询费、手续费、水费、电费、</w:t>
      </w:r>
      <w:r>
        <w:rPr>
          <w:rFonts w:hint="eastAsia" w:ascii="仿宋_GB2312" w:eastAsia="仿宋_GB2312" w:cs="DengXian-Regular"/>
          <w:sz w:val="32"/>
          <w:szCs w:val="32"/>
        </w:rPr>
        <w:t>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pStyle w:val="3"/>
        <w:spacing w:before="0" w:after="0" w:line="580" w:lineRule="exact"/>
        <w:ind w:firstLine="640" w:firstLineChars="200"/>
        <w:rPr>
          <w:rFonts w:eastAsia="仿宋_GB2312"/>
          <w:b w:val="0"/>
          <w:bCs w:val="0"/>
          <w:sz w:val="32"/>
          <w:szCs w:val="32"/>
          <w:highlight w:val="yellow"/>
        </w:rPr>
      </w:pPr>
      <w:r>
        <w:rPr>
          <w:rFonts w:eastAsia="仿宋_GB2312"/>
          <w:b w:val="0"/>
          <w:bCs w:val="0"/>
          <w:sz w:val="32"/>
          <w:szCs w:val="32"/>
        </w:rPr>
        <w:t>本部门201</w:t>
      </w:r>
      <w:r>
        <w:rPr>
          <w:rFonts w:hint="eastAsia" w:eastAsia="仿宋_GB2312"/>
          <w:b w:val="0"/>
          <w:bCs w:val="0"/>
          <w:sz w:val="32"/>
          <w:szCs w:val="32"/>
        </w:rPr>
        <w:t>8</w:t>
      </w:r>
      <w:r>
        <w:rPr>
          <w:rFonts w:eastAsia="仿宋_GB2312"/>
          <w:b w:val="0"/>
          <w:bCs w:val="0"/>
          <w:sz w:val="32"/>
          <w:szCs w:val="32"/>
        </w:rPr>
        <w:t>年度一般公共预算财政拨款“三公”经费支出共计</w:t>
      </w:r>
      <w:r>
        <w:rPr>
          <w:rFonts w:hint="eastAsia" w:eastAsia="仿宋_GB2312"/>
          <w:b w:val="0"/>
          <w:bCs w:val="0"/>
          <w:sz w:val="32"/>
          <w:szCs w:val="32"/>
          <w:lang w:val="en-US" w:eastAsia="zh-CN"/>
        </w:rPr>
        <w:t>0.68</w:t>
      </w:r>
      <w:r>
        <w:rPr>
          <w:rFonts w:eastAsia="仿宋_GB2312"/>
          <w:b w:val="0"/>
          <w:bCs w:val="0"/>
          <w:sz w:val="32"/>
          <w:szCs w:val="32"/>
        </w:rPr>
        <w:t>万元，</w:t>
      </w:r>
      <w:r>
        <w:rPr>
          <w:rFonts w:hint="eastAsia" w:eastAsia="仿宋_GB2312"/>
          <w:b w:val="0"/>
          <w:bCs w:val="0"/>
          <w:sz w:val="32"/>
          <w:szCs w:val="32"/>
        </w:rPr>
        <w:t>比</w:t>
      </w:r>
      <w:r>
        <w:rPr>
          <w:rFonts w:eastAsia="仿宋_GB2312"/>
          <w:b w:val="0"/>
          <w:bCs w:val="0"/>
          <w:sz w:val="32"/>
          <w:szCs w:val="32"/>
        </w:rPr>
        <w:t>年初预算</w:t>
      </w:r>
      <w:r>
        <w:rPr>
          <w:rFonts w:hint="eastAsia" w:eastAsia="仿宋_GB2312"/>
          <w:b w:val="0"/>
          <w:bCs w:val="0"/>
          <w:sz w:val="32"/>
          <w:szCs w:val="32"/>
          <w:lang w:eastAsia="zh-CN"/>
        </w:rPr>
        <w:t>减少</w:t>
      </w:r>
      <w:r>
        <w:rPr>
          <w:rFonts w:hint="eastAsia" w:eastAsia="仿宋_GB2312"/>
          <w:b w:val="0"/>
          <w:bCs w:val="0"/>
          <w:sz w:val="32"/>
          <w:szCs w:val="32"/>
          <w:lang w:val="en-US" w:eastAsia="zh-CN"/>
        </w:rPr>
        <w:t>2.24</w:t>
      </w:r>
      <w:r>
        <w:rPr>
          <w:rFonts w:eastAsia="仿宋_GB2312"/>
          <w:b w:val="0"/>
          <w:bCs w:val="0"/>
          <w:sz w:val="32"/>
          <w:szCs w:val="32"/>
        </w:rPr>
        <w:t>万元，</w:t>
      </w:r>
      <w:r>
        <w:rPr>
          <w:rFonts w:hint="eastAsia" w:eastAsia="仿宋_GB2312"/>
          <w:b w:val="0"/>
          <w:bCs w:val="0"/>
          <w:sz w:val="32"/>
          <w:szCs w:val="32"/>
          <w:lang w:eastAsia="zh-CN"/>
        </w:rPr>
        <w:t>降低</w:t>
      </w:r>
      <w:r>
        <w:rPr>
          <w:rFonts w:hint="eastAsia" w:eastAsia="仿宋_GB2312"/>
          <w:b w:val="0"/>
          <w:bCs w:val="0"/>
          <w:sz w:val="32"/>
          <w:szCs w:val="32"/>
          <w:lang w:val="en-US" w:eastAsia="zh-CN"/>
        </w:rPr>
        <w:t>76.71</w:t>
      </w:r>
      <w:r>
        <w:rPr>
          <w:rFonts w:eastAsia="仿宋_GB2312"/>
          <w:b w:val="0"/>
          <w:bCs w:val="0"/>
          <w:sz w:val="32"/>
          <w:szCs w:val="32"/>
        </w:rPr>
        <w:t>%，主要是</w:t>
      </w:r>
      <w:r>
        <w:rPr>
          <w:rFonts w:hint="eastAsia" w:ascii="仿宋" w:hAnsi="仿宋" w:eastAsia="仿宋" w:cs="仿宋"/>
          <w:b w:val="0"/>
          <w:bCs w:val="0"/>
          <w:sz w:val="32"/>
          <w:szCs w:val="32"/>
        </w:rPr>
        <w:t>公车改革后，公车出行受限</w:t>
      </w:r>
      <w:r>
        <w:rPr>
          <w:rFonts w:eastAsia="仿宋_GB2312"/>
          <w:b w:val="0"/>
          <w:bCs w:val="0"/>
          <w:sz w:val="32"/>
          <w:szCs w:val="32"/>
        </w:rPr>
        <w:t>；</w:t>
      </w:r>
      <w:r>
        <w:rPr>
          <w:rFonts w:hint="eastAsia" w:eastAsia="仿宋_GB2312"/>
          <w:b w:val="0"/>
          <w:bCs w:val="0"/>
          <w:sz w:val="32"/>
          <w:szCs w:val="32"/>
        </w:rPr>
        <w:t>比</w:t>
      </w:r>
      <w:r>
        <w:rPr>
          <w:rFonts w:eastAsia="仿宋_GB2312"/>
          <w:b w:val="0"/>
          <w:bCs w:val="0"/>
          <w:sz w:val="32"/>
          <w:szCs w:val="32"/>
        </w:rPr>
        <w:t>201</w:t>
      </w:r>
      <w:r>
        <w:rPr>
          <w:rFonts w:hint="eastAsia" w:eastAsia="仿宋_GB2312"/>
          <w:b w:val="0"/>
          <w:bCs w:val="0"/>
          <w:sz w:val="32"/>
          <w:szCs w:val="32"/>
        </w:rPr>
        <w:t>7</w:t>
      </w:r>
      <w:r>
        <w:rPr>
          <w:rFonts w:eastAsia="仿宋_GB2312"/>
          <w:b w:val="0"/>
          <w:bCs w:val="0"/>
          <w:sz w:val="32"/>
          <w:szCs w:val="32"/>
        </w:rPr>
        <w:t>年度决算减少</w:t>
      </w:r>
      <w:r>
        <w:rPr>
          <w:rFonts w:hint="eastAsia" w:eastAsia="仿宋_GB2312"/>
          <w:b w:val="0"/>
          <w:bCs w:val="0"/>
          <w:sz w:val="32"/>
          <w:szCs w:val="32"/>
          <w:lang w:val="en-US" w:eastAsia="zh-CN"/>
        </w:rPr>
        <w:t>0.27</w:t>
      </w:r>
      <w:r>
        <w:rPr>
          <w:rFonts w:eastAsia="仿宋_GB2312"/>
          <w:b w:val="0"/>
          <w:bCs w:val="0"/>
          <w:sz w:val="32"/>
          <w:szCs w:val="32"/>
        </w:rPr>
        <w:t>万元，降低</w:t>
      </w:r>
      <w:r>
        <w:rPr>
          <w:rFonts w:hint="eastAsia" w:eastAsia="仿宋_GB2312"/>
          <w:b w:val="0"/>
          <w:bCs w:val="0"/>
          <w:sz w:val="32"/>
          <w:szCs w:val="32"/>
          <w:lang w:val="en-US" w:eastAsia="zh-CN"/>
        </w:rPr>
        <w:t>28.42</w:t>
      </w:r>
      <w:r>
        <w:rPr>
          <w:rFonts w:eastAsia="仿宋_GB2312"/>
          <w:b w:val="0"/>
          <w:bCs w:val="0"/>
          <w:sz w:val="32"/>
          <w:szCs w:val="32"/>
        </w:rPr>
        <w:t>%，主要是</w:t>
      </w:r>
      <w:r>
        <w:rPr>
          <w:rFonts w:hint="eastAsia" w:eastAsia="仿宋_GB2312"/>
          <w:b w:val="0"/>
          <w:bCs w:val="0"/>
          <w:sz w:val="32"/>
          <w:szCs w:val="32"/>
          <w:lang w:eastAsia="zh-CN"/>
        </w:rPr>
        <w:t>公车改革后，公车出行受限</w:t>
      </w:r>
      <w:r>
        <w:rPr>
          <w:rFonts w:eastAsia="仿宋_GB2312"/>
          <w:b w:val="0"/>
          <w:bCs w:val="0"/>
          <w:sz w:val="32"/>
          <w:szCs w:val="32"/>
        </w:rPr>
        <w:t>。具体情况如下：</w:t>
      </w:r>
    </w:p>
    <w:p>
      <w:pPr>
        <w:numPr>
          <w:ilvl w:val="0"/>
          <w:numId w:val="3"/>
        </w:numPr>
        <w:adjustRightInd w:val="0"/>
        <w:snapToGrid w:val="0"/>
        <w:spacing w:line="584" w:lineRule="exact"/>
        <w:ind w:firstLine="643" w:firstLineChars="200"/>
        <w:rPr>
          <w:rFonts w:hint="eastAsia" w:ascii="仿宋_GB2312" w:eastAsia="仿宋_GB2312" w:cs="DengXian-Regular"/>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w:t>
      </w:r>
      <w:r>
        <w:rPr>
          <w:rFonts w:hint="eastAsia" w:ascii="仿宋_GB2312" w:eastAsia="仿宋_GB2312" w:cs="DengXian-Regular"/>
          <w:sz w:val="32"/>
          <w:szCs w:val="32"/>
        </w:rPr>
        <w:t>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，因公出国（境）费支出较年初预算无增减变化，较</w:t>
      </w:r>
      <w:r>
        <w:rPr>
          <w:rFonts w:hint="eastAsia" w:ascii="仿宋_GB2312" w:eastAsia="仿宋_GB2312" w:cs="DengXian-Regular"/>
          <w:sz w:val="32"/>
          <w:szCs w:val="32"/>
          <w:lang w:val="en-US" w:eastAsia="zh-CN"/>
        </w:rPr>
        <w:t>2017年决算无增减变化，主要是本单位无此项预算，未发生此类支出。</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0.68</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hint="eastAsia" w:eastAsia="仿宋_GB2312"/>
          <w:sz w:val="32"/>
          <w:szCs w:val="32"/>
          <w:lang w:eastAsia="zh-CN"/>
        </w:rPr>
        <w:t>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0.23</w:t>
      </w:r>
      <w:r>
        <w:rPr>
          <w:rFonts w:eastAsia="仿宋_GB2312"/>
          <w:sz w:val="32"/>
          <w:szCs w:val="32"/>
        </w:rPr>
        <w:t>万元，降低</w:t>
      </w:r>
      <w:r>
        <w:rPr>
          <w:rFonts w:hint="eastAsia" w:eastAsia="仿宋_GB2312"/>
          <w:sz w:val="32"/>
          <w:szCs w:val="32"/>
          <w:lang w:val="en-US" w:eastAsia="zh-CN"/>
        </w:rPr>
        <w:t>28.42</w:t>
      </w:r>
      <w:r>
        <w:rPr>
          <w:rFonts w:eastAsia="仿宋_GB2312"/>
          <w:sz w:val="32"/>
          <w:szCs w:val="32"/>
        </w:rPr>
        <w:t>%，主要是</w:t>
      </w:r>
      <w:r>
        <w:rPr>
          <w:rFonts w:hint="eastAsia" w:eastAsia="仿宋_GB2312"/>
          <w:sz w:val="32"/>
          <w:szCs w:val="32"/>
          <w:lang w:eastAsia="zh-CN"/>
        </w:rPr>
        <w:t>公车改革后，公车出行受限。</w:t>
      </w:r>
      <w:r>
        <w:rPr>
          <w:rFonts w:eastAsia="仿宋_GB2312"/>
          <w:b/>
          <w:bCs/>
          <w:sz w:val="32"/>
          <w:szCs w:val="32"/>
        </w:rPr>
        <w:t>其中：</w:t>
      </w:r>
    </w:p>
    <w:p>
      <w:pPr>
        <w:adjustRightInd w:val="0"/>
        <w:snapToGrid w:val="0"/>
        <w:spacing w:line="584" w:lineRule="exact"/>
        <w:ind w:firstLine="643" w:firstLineChars="200"/>
        <w:rPr>
          <w:rFonts w:hint="eastAsia" w:eastAsia="仿宋_GB2312"/>
          <w:sz w:val="32"/>
          <w:szCs w:val="32"/>
          <w:lang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。公务用车购置费支出</w:t>
      </w:r>
      <w:r>
        <w:rPr>
          <w:rFonts w:hint="eastAsia" w:eastAsia="仿宋_GB2312"/>
          <w:sz w:val="32"/>
          <w:szCs w:val="32"/>
          <w:lang w:eastAsia="zh-CN"/>
        </w:rPr>
        <w:t>较</w:t>
      </w:r>
      <w:r>
        <w:rPr>
          <w:rFonts w:eastAsia="仿宋_GB2312"/>
          <w:sz w:val="32"/>
          <w:szCs w:val="32"/>
        </w:rPr>
        <w:t>年初预算</w:t>
      </w:r>
      <w:r>
        <w:rPr>
          <w:rFonts w:hint="eastAsia" w:eastAsia="仿宋_GB2312"/>
          <w:sz w:val="32"/>
          <w:szCs w:val="32"/>
          <w:lang w:eastAsia="zh-CN"/>
        </w:rPr>
        <w:t>无增减变化，较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r>
        <w:rPr>
          <w:rFonts w:eastAsia="仿宋_GB2312"/>
          <w:sz w:val="32"/>
          <w:szCs w:val="32"/>
        </w:rPr>
        <w:t>主要是</w:t>
      </w:r>
      <w:r>
        <w:rPr>
          <w:rFonts w:hint="eastAsia" w:eastAsia="仿宋_GB2312"/>
          <w:sz w:val="32"/>
          <w:szCs w:val="32"/>
          <w:lang w:eastAsia="zh-CN"/>
        </w:rPr>
        <w:t>本单位无此项预算，未发生此类支出。</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0.68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1.82</w:t>
      </w:r>
      <w:r>
        <w:rPr>
          <w:rFonts w:eastAsia="仿宋_GB2312"/>
          <w:sz w:val="32"/>
          <w:szCs w:val="32"/>
        </w:rPr>
        <w:t>万元，降低</w:t>
      </w:r>
      <w:r>
        <w:rPr>
          <w:rFonts w:hint="eastAsia" w:eastAsia="仿宋_GB2312"/>
          <w:sz w:val="32"/>
          <w:szCs w:val="32"/>
          <w:lang w:val="en-US" w:eastAsia="zh-CN"/>
        </w:rPr>
        <w:t>72.8</w:t>
      </w:r>
      <w:r>
        <w:rPr>
          <w:rFonts w:eastAsia="仿宋_GB2312"/>
          <w:sz w:val="32"/>
          <w:szCs w:val="32"/>
        </w:rPr>
        <w:t>%，主要是</w:t>
      </w:r>
      <w:r>
        <w:rPr>
          <w:rFonts w:hint="eastAsia" w:eastAsia="仿宋_GB2312"/>
          <w:sz w:val="32"/>
          <w:szCs w:val="32"/>
          <w:lang w:eastAsia="zh-CN"/>
        </w:rPr>
        <w:t>公车改革后，出行受限</w:t>
      </w:r>
      <w:r>
        <w:rPr>
          <w:rFonts w:eastAsia="仿宋_GB2312"/>
          <w:sz w:val="32"/>
          <w:szCs w:val="32"/>
        </w:rPr>
        <w:t>；</w:t>
      </w:r>
      <w:r>
        <w:rPr>
          <w:rFonts w:hint="eastAsia" w:eastAsia="仿宋_GB2312"/>
          <w:sz w:val="32"/>
          <w:szCs w:val="32"/>
          <w:lang w:eastAsia="zh-CN"/>
        </w:rPr>
        <w:t>较</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0.23</w:t>
      </w:r>
      <w:r>
        <w:rPr>
          <w:rFonts w:eastAsia="仿宋_GB2312"/>
          <w:sz w:val="32"/>
          <w:szCs w:val="32"/>
        </w:rPr>
        <w:t>万元，降低</w:t>
      </w:r>
      <w:r>
        <w:rPr>
          <w:rFonts w:hint="eastAsia" w:eastAsia="仿宋_GB2312"/>
          <w:sz w:val="32"/>
          <w:szCs w:val="32"/>
          <w:lang w:val="en-US" w:eastAsia="zh-CN"/>
        </w:rPr>
        <w:t>25.27</w:t>
      </w:r>
      <w:r>
        <w:rPr>
          <w:rFonts w:eastAsia="仿宋_GB2312"/>
          <w:sz w:val="32"/>
          <w:szCs w:val="32"/>
        </w:rPr>
        <w:t>%，主要是</w:t>
      </w:r>
      <w:r>
        <w:rPr>
          <w:rFonts w:hint="eastAsia" w:eastAsia="仿宋_GB2312"/>
          <w:sz w:val="32"/>
          <w:szCs w:val="32"/>
          <w:lang w:eastAsia="zh-CN"/>
        </w:rPr>
        <w:t>公车改革后，出行受限</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0.42</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eastAsia="zh-CN"/>
        </w:rPr>
        <w:t>单位厉行节约，减少公务接待支出</w:t>
      </w:r>
      <w:r>
        <w:rPr>
          <w:rFonts w:eastAsia="仿宋_GB2312"/>
          <w:sz w:val="32"/>
          <w:szCs w:val="32"/>
        </w:rPr>
        <w:t>；</w:t>
      </w:r>
      <w:r>
        <w:rPr>
          <w:rFonts w:hint="eastAsia" w:eastAsia="仿宋_GB2312"/>
          <w:sz w:val="32"/>
          <w:szCs w:val="32"/>
          <w:lang w:eastAsia="zh-CN"/>
        </w:rPr>
        <w:t>较</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0.04</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eastAsia="zh-CN"/>
        </w:rPr>
        <w:t>单位厉行节约，减少开支</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4" w:lineRule="exact"/>
        <w:ind w:firstLine="640" w:firstLineChars="200"/>
        <w:rPr>
          <w:rFonts w:ascii="仿宋" w:hAnsi="仿宋" w:eastAsia="仿宋" w:cs="DengXian-Regular"/>
          <w:sz w:val="32"/>
          <w:szCs w:val="32"/>
        </w:rPr>
      </w:pPr>
      <w:r>
        <w:rPr>
          <w:rFonts w:hint="eastAsia" w:ascii="仿宋" w:hAnsi="仿宋" w:eastAsia="仿宋" w:cs="___WRD_EMBED_SUB_39"/>
          <w:sz w:val="32"/>
          <w:szCs w:val="32"/>
        </w:rPr>
        <w:t>体绩效目标明确，决</w:t>
      </w:r>
      <w:r>
        <w:rPr>
          <w:rFonts w:hint="eastAsia" w:ascii="仿宋" w:hAnsi="仿宋" w:eastAsia="仿宋" w:cs="宋体"/>
          <w:sz w:val="32"/>
          <w:szCs w:val="32"/>
        </w:rPr>
        <w:t>策依</w:t>
      </w:r>
      <w:r>
        <w:rPr>
          <w:rFonts w:hint="eastAsia" w:ascii="仿宋" w:hAnsi="仿宋" w:eastAsia="仿宋" w:cs="___WRD_EMBED_SUB_39"/>
          <w:sz w:val="32"/>
          <w:szCs w:val="32"/>
        </w:rPr>
        <w:t>据</w:t>
      </w:r>
      <w:r>
        <w:rPr>
          <w:rFonts w:hint="eastAsia" w:ascii="仿宋" w:hAnsi="仿宋" w:eastAsia="仿宋" w:cs="宋体"/>
          <w:sz w:val="32"/>
          <w:szCs w:val="32"/>
        </w:rPr>
        <w:t>充</w:t>
      </w:r>
      <w:r>
        <w:rPr>
          <w:rFonts w:hint="eastAsia" w:ascii="仿宋" w:hAnsi="仿宋" w:eastAsia="仿宋" w:cs="___WRD_EMBED_SUB_39"/>
          <w:sz w:val="32"/>
          <w:szCs w:val="32"/>
        </w:rPr>
        <w:t>分，资金分配科学合理，项目管理较规范</w:t>
      </w:r>
      <w:r>
        <w:rPr>
          <w:rFonts w:hint="eastAsia" w:ascii="仿宋" w:hAnsi="仿宋" w:eastAsia="仿宋" w:cs="DengXian-Regular"/>
          <w:sz w:val="32"/>
          <w:szCs w:val="32"/>
        </w:rPr>
        <w:t>。</w:t>
      </w:r>
    </w:p>
    <w:p>
      <w:pPr>
        <w:adjustRightInd w:val="0"/>
        <w:snapToGrid w:val="0"/>
        <w:spacing w:after="0" w:line="584" w:lineRule="exact"/>
        <w:ind w:firstLine="643" w:firstLineChars="200"/>
        <w:rPr>
          <w:rFonts w:ascii="仿宋" w:hAnsi="仿宋" w:eastAsia="仿宋" w:cs="DengXian-Regular"/>
          <w:b/>
          <w:sz w:val="32"/>
          <w:szCs w:val="32"/>
        </w:rPr>
      </w:pPr>
      <w:r>
        <w:rPr>
          <w:rFonts w:hint="eastAsia" w:ascii="仿宋" w:hAnsi="仿宋" w:eastAsia="仿宋" w:cs="DengXian-Regular"/>
          <w:b/>
          <w:sz w:val="32"/>
          <w:szCs w:val="32"/>
        </w:rPr>
        <w:t>增强绩效意，提高资金使用效益</w:t>
      </w:r>
    </w:p>
    <w:p>
      <w:pPr>
        <w:adjustRightInd w:val="0"/>
        <w:snapToGrid w:val="0"/>
        <w:spacing w:after="0" w:line="584" w:lineRule="exact"/>
        <w:ind w:firstLine="640" w:firstLineChars="200"/>
        <w:rPr>
          <w:rFonts w:hint="eastAsia" w:ascii="仿宋" w:hAnsi="仿宋" w:eastAsia="仿宋" w:cs="DengXian-Regular"/>
          <w:sz w:val="32"/>
          <w:szCs w:val="32"/>
        </w:rPr>
      </w:pPr>
      <w:r>
        <w:rPr>
          <w:rFonts w:hint="eastAsia" w:ascii="仿宋" w:hAnsi="仿宋" w:eastAsia="仿宋" w:cs="DengXian-Regular"/>
          <w:sz w:val="32"/>
          <w:szCs w:val="32"/>
        </w:rPr>
        <w:t>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adjustRightInd w:val="0"/>
        <w:snapToGrid w:val="0"/>
        <w:spacing w:after="0" w:line="584" w:lineRule="exact"/>
        <w:ind w:firstLine="643" w:firstLineChars="200"/>
        <w:rPr>
          <w:rFonts w:ascii="仿宋" w:hAnsi="仿宋" w:eastAsia="仿宋" w:cs="DengXian-Regular"/>
          <w:b/>
          <w:sz w:val="32"/>
          <w:szCs w:val="32"/>
        </w:rPr>
      </w:pPr>
      <w:r>
        <w:rPr>
          <w:rFonts w:hint="eastAsia" w:ascii="仿宋" w:hAnsi="仿宋" w:eastAsia="仿宋" w:cs="DengXian-Regular"/>
          <w:b/>
          <w:sz w:val="32"/>
          <w:szCs w:val="32"/>
        </w:rPr>
        <w:t>健全绩效评价工作机构、完善评价工作机制</w:t>
      </w:r>
    </w:p>
    <w:p>
      <w:pPr>
        <w:adjustRightInd w:val="0"/>
        <w:snapToGrid w:val="0"/>
        <w:spacing w:after="0"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p>
    <w:p>
      <w:pPr>
        <w:adjustRightInd w:val="0"/>
        <w:snapToGrid w:val="0"/>
        <w:spacing w:after="0" w:line="584" w:lineRule="exact"/>
        <w:ind w:firstLine="643" w:firstLineChars="200"/>
        <w:rPr>
          <w:rFonts w:ascii="仿宋" w:hAnsi="仿宋" w:eastAsia="仿宋" w:cs="DengXian-Regular"/>
          <w:b/>
          <w:sz w:val="32"/>
          <w:szCs w:val="32"/>
        </w:rPr>
      </w:pPr>
      <w:r>
        <w:rPr>
          <w:rFonts w:hint="eastAsia" w:ascii="仿宋" w:hAnsi="仿宋" w:eastAsia="仿宋" w:cs="DengXian-Regular"/>
          <w:b/>
          <w:sz w:val="32"/>
          <w:szCs w:val="32"/>
        </w:rPr>
        <w:t>明确重点，做好绩效自评</w:t>
      </w:r>
    </w:p>
    <w:p>
      <w:pPr>
        <w:adjustRightInd w:val="0"/>
        <w:snapToGrid w:val="0"/>
        <w:spacing w:after="0" w:line="584"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财政支出绩效评价首先要减少资金使用管理中的损失浪费现象，其次要达到资金的合理、优化配给。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numPr>
          <w:ilvl w:val="0"/>
          <w:numId w:val="3"/>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4"/>
        </w:numPr>
        <w:adjustRightInd w:val="0"/>
        <w:snapToGrid w:val="0"/>
        <w:spacing w:after="0" w:line="580" w:lineRule="exact"/>
        <w:ind w:left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项目概况</w:t>
      </w:r>
    </w:p>
    <w:p>
      <w:pPr>
        <w:numPr>
          <w:ilvl w:val="0"/>
          <w:numId w:val="0"/>
        </w:numPr>
        <w:adjustRightInd w:val="0"/>
        <w:snapToGrid w:val="0"/>
        <w:spacing w:after="0" w:line="580" w:lineRule="exact"/>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 xml:space="preserve">   2018年政务服务中心响应省、市统一要求，积极探索“一枚印章管审批”的相对集中式行政审批制度改革，在审管分离后，为了我单位与各监管部门之间能够及时有效地衔接互动，与省、市平台能够按照上级要求对接，实现信息互通共享，我单位开发了现在审批及审管互动平台系统，系统包括：应用支撑平台、政务服务门户（网上办事大厅、微信公众服务号、掌上政务APP）、行政审批系统、电子证照管理系统、效能监察系统、审管信息互动平台、政务自动办事终端、政务服务数据交换、三级政务服务体系建设等板块，</w:t>
      </w:r>
    </w:p>
    <w:p>
      <w:pPr>
        <w:numPr>
          <w:ilvl w:val="0"/>
          <w:numId w:val="3"/>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通过审批及审管互动平台开发，实现了我单位</w:t>
      </w:r>
      <w:r>
        <w:rPr>
          <w:rFonts w:hint="eastAsia" w:ascii="仿宋_GB2312" w:eastAsia="仿宋_GB2312" w:cs="DengXian-Regular"/>
          <w:sz w:val="32"/>
          <w:szCs w:val="32"/>
          <w:lang w:val="en-US" w:eastAsia="zh-CN"/>
        </w:rPr>
        <w:t>与各监管部门之间能够及时有效地衔接互动，与省、市平台能够按照上级要求对接，实现信息互通共享，实现了“一枚印章管审批”的相对集中式行政审批制度改革，为审批事项的审批节省了时间，方便了群众，实现了网上办理。</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137.41</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3.18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2.26</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2018年10月我单位搬迁至祁各庄镇创业大厦，剩余物业费及电费等未支付</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8.88</w:t>
      </w:r>
      <w:r>
        <w:rPr>
          <w:rFonts w:eastAsia="仿宋_GB2312"/>
          <w:sz w:val="32"/>
          <w:szCs w:val="32"/>
        </w:rPr>
        <w:t>万元降低</w:t>
      </w:r>
      <w:r>
        <w:rPr>
          <w:rFonts w:hint="eastAsia" w:eastAsia="仿宋_GB2312"/>
          <w:sz w:val="32"/>
          <w:szCs w:val="32"/>
          <w:lang w:val="en-US" w:eastAsia="zh-CN"/>
        </w:rPr>
        <w:t>6.07</w:t>
      </w:r>
      <w:r>
        <w:rPr>
          <w:rFonts w:eastAsia="仿宋_GB2312"/>
          <w:sz w:val="32"/>
          <w:szCs w:val="32"/>
        </w:rPr>
        <w:t>%，主要是</w:t>
      </w:r>
      <w:r>
        <w:rPr>
          <w:rFonts w:hint="eastAsia" w:eastAsia="仿宋_GB2312"/>
          <w:sz w:val="32"/>
          <w:szCs w:val="32"/>
          <w:lang w:eastAsia="zh-CN"/>
        </w:rPr>
        <w:t>受审批局搬迁的影响，一些费用有剩余</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w:t>
      </w:r>
      <w:r>
        <w:rPr>
          <w:rFonts w:hint="eastAsia" w:ascii="仿宋_GB2312" w:hAnsi="Times New Roman" w:eastAsia="仿宋_GB2312" w:cs="DengXian-Regular"/>
          <w:sz w:val="32"/>
          <w:szCs w:val="32"/>
        </w:rPr>
        <w:t>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相比无增减变化。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套，</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比无增减变化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相比无增减变化。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spacing w:line="520" w:lineRule="atLeast"/>
        <w:ind w:firstLine="800" w:firstLineChars="250"/>
        <w:rPr>
          <w:rFonts w:hint="eastAsia" w:ascii="仿宋" w:hAnsi="仿宋" w:eastAsia="仿宋" w:cs="仿宋"/>
          <w:sz w:val="32"/>
          <w:szCs w:val="32"/>
        </w:rPr>
      </w:pPr>
      <w:r>
        <w:rPr>
          <w:rFonts w:hint="eastAsia" w:ascii="仿宋_GB2312" w:eastAsia="仿宋_GB2312" w:cs="DengXian-Regular"/>
          <w:sz w:val="32"/>
          <w:szCs w:val="32"/>
        </w:rPr>
        <w:t>1、</w:t>
      </w:r>
      <w:r>
        <w:rPr>
          <w:rFonts w:hint="eastAsia" w:ascii="仿宋" w:hAnsi="仿宋" w:eastAsia="仿宋" w:cs="仿宋"/>
          <w:sz w:val="32"/>
          <w:szCs w:val="32"/>
        </w:rPr>
        <w:t>本部门2018年度政府性基金预算财政拨款收入、支出及结转和结余、国有资本经营预算财政拨款支出无收支及结转结余情况，故公开08表、公开09表以空表列示。</w:t>
      </w:r>
    </w:p>
    <w:p>
      <w:pPr>
        <w:spacing w:line="520" w:lineRule="atLeas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5DB5758-2BAE-4333-AE75-4027CEA045A5}"/>
  </w:font>
  <w:font w:name="黑体">
    <w:panose1 w:val="02010609060101010101"/>
    <w:charset w:val="86"/>
    <w:family w:val="auto"/>
    <w:pitch w:val="default"/>
    <w:sig w:usb0="800002BF" w:usb1="38CF7CFA" w:usb2="00000016" w:usb3="00000000" w:csb0="00040001" w:csb1="00000000"/>
    <w:embedRegular r:id="rId2" w:fontKey="{10836B16-D6CC-4F3A-B94B-00E8F0CC39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F5DCD2E-AE0D-4F22-A603-5FFCEF71113F}"/>
  </w:font>
  <w:font w:name="Cambria">
    <w:panose1 w:val="02040503050406030204"/>
    <w:charset w:val="00"/>
    <w:family w:val="roman"/>
    <w:pitch w:val="default"/>
    <w:sig w:usb0="E00002FF" w:usb1="400004FF" w:usb2="00000000" w:usb3="00000000" w:csb0="2000019F" w:csb1="00000000"/>
    <w:embedRegular r:id="rId4" w:fontKey="{AD7DB035-0A18-4958-8435-29372E6CF76A}"/>
  </w:font>
  <w:font w:name="仿宋_GB2312">
    <w:panose1 w:val="02010609030101010101"/>
    <w:charset w:val="86"/>
    <w:family w:val="modern"/>
    <w:pitch w:val="default"/>
    <w:sig w:usb0="00000001" w:usb1="080E0000" w:usb2="00000000" w:usb3="00000000" w:csb0="00040000" w:csb1="00000000"/>
    <w:embedRegular r:id="rId5" w:fontKey="{965E8FA4-056F-4C77-B806-C8D2F4E6A387}"/>
  </w:font>
  <w:font w:name="仿宋">
    <w:panose1 w:val="02010609060101010101"/>
    <w:charset w:val="86"/>
    <w:family w:val="auto"/>
    <w:pitch w:val="default"/>
    <w:sig w:usb0="800002BF" w:usb1="38CF7CFA" w:usb2="00000016" w:usb3="00000000" w:csb0="00040001" w:csb1="00000000"/>
    <w:embedRegular r:id="rId6" w:fontKey="{ABDD4339-893F-41B0-B75C-985D75DD6903}"/>
  </w:font>
  <w:font w:name="ArialUnicodeMS">
    <w:altName w:val="Malgun Gothic"/>
    <w:panose1 w:val="00000000000000000000"/>
    <w:charset w:val="81"/>
    <w:family w:val="auto"/>
    <w:pitch w:val="default"/>
    <w:sig w:usb0="00000000" w:usb1="00000000" w:usb2="00000010" w:usb3="00000000" w:csb0="00080001" w:csb1="00000000"/>
    <w:embedRegular r:id="rId7" w:fontKey="{2133EC73-EE85-4A89-9770-09B3CFE1AB69}"/>
  </w:font>
  <w:font w:name="MS-UIGothic,Bold">
    <w:altName w:val="Malgun Gothic"/>
    <w:panose1 w:val="00000000000000000000"/>
    <w:charset w:val="81"/>
    <w:family w:val="auto"/>
    <w:pitch w:val="default"/>
    <w:sig w:usb0="00000000" w:usb1="00000000" w:usb2="00000010" w:usb3="00000000" w:csb0="00080000" w:csb1="00000000"/>
    <w:embedRegular r:id="rId8" w:fontKey="{889E5C50-77E1-4A4E-9D52-B6FDB7EF9850}"/>
  </w:font>
  <w:font w:name="DengXian-Regular">
    <w:altName w:val="宋体"/>
    <w:panose1 w:val="00000000000000000000"/>
    <w:charset w:val="86"/>
    <w:family w:val="auto"/>
    <w:pitch w:val="default"/>
    <w:sig w:usb0="00000000" w:usb1="00000000" w:usb2="00000010" w:usb3="00000000" w:csb0="00040001" w:csb1="00000000"/>
    <w:embedRegular r:id="rId9" w:fontKey="{75B95EEA-301E-47AE-825D-75D8D1203F93}"/>
  </w:font>
  <w:font w:name="楷体_GB2312">
    <w:panose1 w:val="02010609030101010101"/>
    <w:charset w:val="86"/>
    <w:family w:val="modern"/>
    <w:pitch w:val="default"/>
    <w:sig w:usb0="00000001" w:usb1="080E0000" w:usb2="00000000" w:usb3="00000000" w:csb0="00040000" w:csb1="00000000"/>
    <w:embedRegular r:id="rId10" w:fontKey="{6E227074-4697-4D95-B740-66AC7403A3BB}"/>
  </w:font>
  <w:font w:name="DengXian-Bold">
    <w:altName w:val="宋体"/>
    <w:panose1 w:val="00000000000000000000"/>
    <w:charset w:val="86"/>
    <w:family w:val="auto"/>
    <w:pitch w:val="default"/>
    <w:sig w:usb0="00000000" w:usb1="00000000" w:usb2="00000010" w:usb3="00000000" w:csb0="00040001" w:csb1="00000000"/>
    <w:embedRegular r:id="rId11" w:fontKey="{E9D860F0-84BB-4DA5-9487-A38218C1DE66}"/>
  </w:font>
  <w:font w:name="___WRD_EMBED_SUB_39">
    <w:altName w:val="宋体"/>
    <w:panose1 w:val="00000000000000000000"/>
    <w:charset w:val="86"/>
    <w:family w:val="modern"/>
    <w:pitch w:val="default"/>
    <w:sig w:usb0="00000000" w:usb1="00000000" w:usb2="00000000" w:usb3="00000000" w:csb0="00000000" w:csb1="00000000"/>
    <w:embedRegular r:id="rId12" w:fontKey="{C5754600-8B3D-44F4-9BA3-C6697F700111}"/>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C7FAC"/>
    <w:multiLevelType w:val="singleLevel"/>
    <w:tmpl w:val="346C7FAC"/>
    <w:lvl w:ilvl="0" w:tentative="0">
      <w:start w:val="3"/>
      <w:numFmt w:val="chineseCounting"/>
      <w:suff w:val="space"/>
      <w:lvlText w:val="第%1部分"/>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A02A36F"/>
    <w:multiLevelType w:val="singleLevel"/>
    <w:tmpl w:val="4A02A36F"/>
    <w:lvl w:ilvl="0" w:tentative="0">
      <w:start w:val="1"/>
      <w:numFmt w:val="chineseCounting"/>
      <w:suff w:val="nothing"/>
      <w:lvlText w:val="（%1）"/>
      <w:lvlJc w:val="left"/>
      <w:rPr>
        <w:rFonts w:hint="eastAsia"/>
      </w:rPr>
    </w:lvl>
  </w:abstractNum>
  <w:abstractNum w:abstractNumId="3">
    <w:nsid w:val="6ECC54D0"/>
    <w:multiLevelType w:val="singleLevel"/>
    <w:tmpl w:val="6ECC54D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MjdjZDhlM2FhOTE2ZDU4OGZjMDI2NjlhYjZmMGUifQ=="/>
  </w:docVars>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98072D"/>
    <w:rsid w:val="04073F84"/>
    <w:rsid w:val="04E63942"/>
    <w:rsid w:val="0B60750A"/>
    <w:rsid w:val="0D923638"/>
    <w:rsid w:val="10686488"/>
    <w:rsid w:val="10DF728A"/>
    <w:rsid w:val="1264200E"/>
    <w:rsid w:val="141C5B77"/>
    <w:rsid w:val="18D8339D"/>
    <w:rsid w:val="1A21388F"/>
    <w:rsid w:val="1A570D2F"/>
    <w:rsid w:val="1CA3639A"/>
    <w:rsid w:val="26572123"/>
    <w:rsid w:val="28617757"/>
    <w:rsid w:val="28FB0B8D"/>
    <w:rsid w:val="2B793BC2"/>
    <w:rsid w:val="2D0D41F1"/>
    <w:rsid w:val="2D2B7942"/>
    <w:rsid w:val="2D46481D"/>
    <w:rsid w:val="2E733B28"/>
    <w:rsid w:val="2F1E44A2"/>
    <w:rsid w:val="31852B5A"/>
    <w:rsid w:val="32D01238"/>
    <w:rsid w:val="32D700E1"/>
    <w:rsid w:val="3DFC59A8"/>
    <w:rsid w:val="3ECF245E"/>
    <w:rsid w:val="3FB96314"/>
    <w:rsid w:val="410C7D03"/>
    <w:rsid w:val="452A6484"/>
    <w:rsid w:val="4D863C8C"/>
    <w:rsid w:val="50CA2CB9"/>
    <w:rsid w:val="51837539"/>
    <w:rsid w:val="53A44FAF"/>
    <w:rsid w:val="53B66705"/>
    <w:rsid w:val="594329EC"/>
    <w:rsid w:val="5BEE1540"/>
    <w:rsid w:val="5DE61A5D"/>
    <w:rsid w:val="63B57F61"/>
    <w:rsid w:val="63C04243"/>
    <w:rsid w:val="649C01C7"/>
    <w:rsid w:val="67A86268"/>
    <w:rsid w:val="699A3F60"/>
    <w:rsid w:val="72902E62"/>
    <w:rsid w:val="734754F4"/>
    <w:rsid w:val="73C61104"/>
    <w:rsid w:val="776452EA"/>
    <w:rsid w:val="7BE43544"/>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Date"/>
    <w:basedOn w:val="1"/>
    <w:next w:val="1"/>
    <w:link w:val="31"/>
    <w:autoRedefine/>
    <w:semiHidden/>
    <w:unhideWhenUsed/>
    <w:qFormat/>
    <w:uiPriority w:val="99"/>
    <w:pPr>
      <w:ind w:left="100" w:leftChars="2500"/>
    </w:pPr>
  </w:style>
  <w:style w:type="paragraph" w:styleId="7">
    <w:name w:val="Balloon Text"/>
    <w:basedOn w:val="1"/>
    <w:link w:val="19"/>
    <w:autoRedefine/>
    <w:semiHidden/>
    <w:unhideWhenUsed/>
    <w:qFormat/>
    <w:uiPriority w:val="99"/>
    <w:rPr>
      <w:sz w:val="18"/>
      <w:szCs w:val="18"/>
    </w:rPr>
  </w:style>
  <w:style w:type="paragraph" w:styleId="8">
    <w:name w:val="footer"/>
    <w:basedOn w:val="1"/>
    <w:link w:val="16"/>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autoRedefine/>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autoRedefine/>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autoRedefine/>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autoRedefine/>
    <w:qFormat/>
    <w:uiPriority w:val="99"/>
    <w:rPr>
      <w:sz w:val="18"/>
      <w:szCs w:val="18"/>
    </w:rPr>
  </w:style>
  <w:style w:type="character" w:customStyle="1" w:styleId="16">
    <w:name w:val="页脚 Char"/>
    <w:basedOn w:val="14"/>
    <w:link w:val="8"/>
    <w:autoRedefine/>
    <w:qFormat/>
    <w:uiPriority w:val="99"/>
    <w:rPr>
      <w:sz w:val="18"/>
      <w:szCs w:val="18"/>
    </w:rPr>
  </w:style>
  <w:style w:type="paragraph" w:styleId="17">
    <w:name w:val="No Spacing"/>
    <w:link w:val="18"/>
    <w:autoRedefine/>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autoRedefine/>
    <w:qFormat/>
    <w:uiPriority w:val="1"/>
    <w:rPr>
      <w:kern w:val="0"/>
      <w:sz w:val="22"/>
    </w:rPr>
  </w:style>
  <w:style w:type="character" w:customStyle="1" w:styleId="19">
    <w:name w:val="批注框文本 Char"/>
    <w:basedOn w:val="14"/>
    <w:link w:val="7"/>
    <w:autoRedefine/>
    <w:semiHidden/>
    <w:qFormat/>
    <w:uiPriority w:val="99"/>
    <w:rPr>
      <w:rFonts w:ascii="Times New Roman" w:hAnsi="Times New Roman" w:eastAsia="宋体" w:cs="Times New Roman"/>
      <w:sz w:val="18"/>
      <w:szCs w:val="18"/>
    </w:rPr>
  </w:style>
  <w:style w:type="character" w:customStyle="1" w:styleId="20">
    <w:name w:val="标题 Char"/>
    <w:basedOn w:val="14"/>
    <w:link w:val="11"/>
    <w:autoRedefine/>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autoRedefine/>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autoRedefine/>
    <w:qFormat/>
    <w:uiPriority w:val="1"/>
    <w:rPr>
      <w:rFonts w:asciiTheme="minorHAnsi" w:hAnsiTheme="minorEastAsia" w:eastAsiaTheme="minorEastAsia" w:cstheme="minorBidi"/>
      <w:sz w:val="22"/>
      <w:szCs w:val="22"/>
      <w:lang w:eastAsia="zh-CN"/>
    </w:rPr>
  </w:style>
  <w:style w:type="character" w:customStyle="1" w:styleId="23">
    <w:name w:val="Style2"/>
    <w:basedOn w:val="14"/>
    <w:autoRedefine/>
    <w:qFormat/>
    <w:uiPriority w:val="1"/>
    <w:rPr>
      <w:rFonts w:asciiTheme="minorHAnsi" w:hAnsiTheme="minorEastAsia" w:eastAsiaTheme="minorEastAsia" w:cstheme="minorBidi"/>
      <w:sz w:val="22"/>
      <w:szCs w:val="22"/>
      <w:lang w:eastAsia="zh-CN"/>
    </w:rPr>
  </w:style>
  <w:style w:type="character" w:customStyle="1" w:styleId="24">
    <w:name w:val="Style3"/>
    <w:basedOn w:val="14"/>
    <w:autoRedefine/>
    <w:qFormat/>
    <w:uiPriority w:val="1"/>
    <w:rPr>
      <w:rFonts w:asciiTheme="minorHAnsi" w:hAnsiTheme="minorEastAsia" w:eastAsiaTheme="minorEastAsia" w:cstheme="minorBidi"/>
      <w:szCs w:val="22"/>
      <w:lang w:eastAsia="zh-CN"/>
    </w:rPr>
  </w:style>
  <w:style w:type="character" w:customStyle="1" w:styleId="25">
    <w:name w:val="Style4"/>
    <w:basedOn w:val="14"/>
    <w:autoRedefine/>
    <w:qFormat/>
    <w:uiPriority w:val="1"/>
    <w:rPr>
      <w:rFonts w:asciiTheme="minorHAnsi" w:hAnsiTheme="minorEastAsia" w:eastAsiaTheme="minorEastAsia" w:cstheme="minorBidi"/>
      <w:szCs w:val="22"/>
      <w:lang w:eastAsia="zh-CN"/>
    </w:rPr>
  </w:style>
  <w:style w:type="character" w:customStyle="1" w:styleId="26">
    <w:name w:val="Style5"/>
    <w:basedOn w:val="14"/>
    <w:autoRedefine/>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autoRedefine/>
    <w:qFormat/>
    <w:uiPriority w:val="9"/>
    <w:rPr>
      <w:rFonts w:ascii="Times New Roman" w:hAnsi="Times New Roman" w:eastAsia="宋体" w:cs="Times New Roman"/>
      <w:b/>
      <w:bCs/>
      <w:kern w:val="44"/>
      <w:sz w:val="44"/>
      <w:szCs w:val="44"/>
    </w:rPr>
  </w:style>
  <w:style w:type="character" w:customStyle="1" w:styleId="28">
    <w:name w:val="标题 2 Char"/>
    <w:basedOn w:val="14"/>
    <w:link w:val="3"/>
    <w:autoRedefine/>
    <w:qFormat/>
    <w:uiPriority w:val="9"/>
    <w:rPr>
      <w:rFonts w:asciiTheme="majorHAnsi" w:hAnsiTheme="majorHAnsi" w:eastAsiaTheme="majorEastAsia" w:cstheme="majorBidi"/>
      <w:b/>
      <w:bCs/>
      <w:sz w:val="32"/>
      <w:szCs w:val="32"/>
    </w:rPr>
  </w:style>
  <w:style w:type="character" w:customStyle="1" w:styleId="29">
    <w:name w:val="标题 3 Char"/>
    <w:basedOn w:val="14"/>
    <w:link w:val="4"/>
    <w:autoRedefine/>
    <w:qFormat/>
    <w:uiPriority w:val="9"/>
    <w:rPr>
      <w:rFonts w:ascii="Times New Roman" w:hAnsi="Times New Roman" w:eastAsia="宋体" w:cs="Times New Roman"/>
      <w:b/>
      <w:bCs/>
      <w:sz w:val="32"/>
      <w:szCs w:val="32"/>
    </w:rPr>
  </w:style>
  <w:style w:type="character" w:customStyle="1" w:styleId="30">
    <w:name w:val="标题 4 Char"/>
    <w:basedOn w:val="14"/>
    <w:link w:val="5"/>
    <w:autoRedefine/>
    <w:qFormat/>
    <w:uiPriority w:val="9"/>
    <w:rPr>
      <w:rFonts w:asciiTheme="majorHAnsi" w:hAnsiTheme="majorHAnsi" w:eastAsiaTheme="majorEastAsia" w:cstheme="majorBidi"/>
      <w:b/>
      <w:bCs/>
      <w:sz w:val="28"/>
      <w:szCs w:val="28"/>
    </w:rPr>
  </w:style>
  <w:style w:type="character" w:customStyle="1" w:styleId="31">
    <w:name w:val="日期 Char"/>
    <w:basedOn w:val="14"/>
    <w:link w:val="6"/>
    <w:autoRedefine/>
    <w:semiHidden/>
    <w:qFormat/>
    <w:uiPriority w:val="99"/>
    <w:rPr>
      <w:rFonts w:ascii="Times New Roman" w:hAnsi="Times New Roman" w:eastAsia="宋体" w:cs="Times New Roman"/>
      <w:szCs w:val="24"/>
    </w:rPr>
  </w:style>
  <w:style w:type="paragraph" w:styleId="32">
    <w:name w:val="List Paragraph"/>
    <w:basedOn w:val="1"/>
    <w:autoRedefine/>
    <w:unhideWhenUsed/>
    <w:qFormat/>
    <w:uiPriority w:val="99"/>
    <w:pPr>
      <w:ind w:firstLine="420" w:firstLineChars="200"/>
    </w:pPr>
  </w:style>
  <w:style w:type="paragraph" w:customStyle="1" w:styleId="33">
    <w:name w:val="[Normal]"/>
    <w:autoRedefine/>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chart" Target="charts/chart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a:gsLst>
                  <a:gs pos="0">
                    <a:srgbClr val="7B32B2"/>
                  </a:gs>
                  <a:gs pos="100000">
                    <a:srgbClr val="401A5D">
                      <a:lumMod val="56000"/>
                      <a:lumOff val="44000"/>
                    </a:srgbClr>
                  </a:gs>
                </a:gsLst>
                <a:lin ang="5400000" scaled="0"/>
              </a:gradFill>
              <a:ln w="19050">
                <a:solidFill>
                  <a:srgbClr val="FFFFFF"/>
                </a:solidFill>
              </a:ln>
              <a:effectLst/>
            </c:spPr>
          </c:dPt>
          <c:dPt>
            <c:idx val="1"/>
            <c:bubble3D val="0"/>
            <c:spPr>
              <a:solidFill>
                <a:srgbClr val="953735">
                  <a:lumMod val="75000"/>
                </a:srgbClr>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100</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3749375"/>
          <c:y val="0.92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717.77</c:v>
                </c:pt>
                <c:pt idx="1">
                  <c:v>702.35</c:v>
                </c:pt>
              </c:numCache>
            </c:numRef>
          </c:val>
        </c:ser>
        <c:ser>
          <c:idx val="1"/>
          <c:order val="1"/>
          <c:tx>
            <c:strRef>
              <c:f>Sheet1!$C$1</c:f>
              <c:strCache>
                <c:ptCount val="1"/>
                <c:pt idx="0">
                  <c:v>支出</c:v>
                </c:pt>
              </c:strCache>
            </c:strRef>
          </c:tx>
          <c:spPr>
            <a:solidFill>
              <a:schemeClr val="accent2">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702.35</c:v>
                </c:pt>
                <c:pt idx="1">
                  <c:v>682.53</c:v>
                </c:pt>
              </c:numCache>
            </c:numRef>
          </c:val>
        </c:ser>
        <c:dLbls>
          <c:showLegendKey val="0"/>
          <c:showVal val="0"/>
          <c:showCatName val="0"/>
          <c:showSerName val="0"/>
          <c:showPercent val="0"/>
          <c:showBubbleSize val="0"/>
        </c:dLbls>
        <c:gapWidth val="219"/>
        <c:overlap val="-27"/>
        <c:axId val="122776192"/>
        <c:axId val="12278208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预算</c:v>
                      </c:pt>
                      <c:pt idx="1">
                        <c:v>决算</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122776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82080"/>
        <c:crosses val="autoZero"/>
        <c:auto val="1"/>
        <c:lblAlgn val="ctr"/>
        <c:lblOffset val="100"/>
        <c:noMultiLvlLbl val="0"/>
      </c:catAx>
      <c:valAx>
        <c:axId val="122782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76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10786.49</c:v>
                </c:pt>
                <c:pt idx="1">
                  <c:v>3822.85</c:v>
                </c:pt>
              </c:numCache>
            </c:numRef>
          </c:val>
        </c:ser>
        <c:ser>
          <c:idx val="1"/>
          <c:order val="1"/>
          <c:tx>
            <c:strRef>
              <c:f>Sheet1!$C$1</c:f>
              <c:strCache>
                <c:ptCount val="1"/>
                <c:pt idx="0">
                  <c:v>支出</c:v>
                </c:pt>
              </c:strCache>
            </c:strRef>
          </c:tx>
          <c:spPr>
            <a:solidFill>
              <a:schemeClr val="accent2">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10786.49</c:v>
                </c:pt>
                <c:pt idx="1">
                  <c:v>3315.68</c:v>
                </c:pt>
              </c:numCache>
            </c:numRef>
          </c:val>
        </c:ser>
        <c:dLbls>
          <c:showLegendKey val="0"/>
          <c:showVal val="0"/>
          <c:showCatName val="0"/>
          <c:showSerName val="0"/>
          <c:showPercent val="0"/>
          <c:showBubbleSize val="0"/>
        </c:dLbls>
        <c:gapWidth val="219"/>
        <c:overlap val="-27"/>
        <c:axId val="122776192"/>
        <c:axId val="12278208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预算</c:v>
                      </c:pt>
                      <c:pt idx="1">
                        <c:v>决算</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122776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82080"/>
        <c:crosses val="autoZero"/>
        <c:auto val="1"/>
        <c:lblAlgn val="ctr"/>
        <c:lblOffset val="100"/>
        <c:noMultiLvlLbl val="0"/>
      </c:catAx>
      <c:valAx>
        <c:axId val="122782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76192"/>
        <c:crosses val="autoZero"/>
        <c:crossBetween val="between"/>
      </c:valAx>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支出构成</c:v>
                </c:pt>
              </c:strCache>
            </c:strRef>
          </c:tx>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Lbls>
            <c:delete val="1"/>
          </c:dLbls>
          <c:cat>
            <c:strRef>
              <c:extLst>
                <c:ext xmlns:c15="http://schemas.microsoft.com/office/drawing/2012/chart" uri="{02D57815-91ED-43cb-92C2-25804820EDAC}">
                  <c15:fullRef>
                    <c15:sqref>Sheet1!$A$2:$A$4</c15:sqref>
                  </c15:fullRef>
                </c:ext>
              </c:extLst>
              <c:f>Sheet1!$A$2:$A$4</c:f>
              <c:strCache>
                <c:ptCount val="3"/>
                <c:pt idx="0">
                  <c:v>一般公共服务类</c:v>
                </c:pt>
                <c:pt idx="1">
                  <c:v>社保医疗公积金</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631.45</c:v>
                </c:pt>
                <c:pt idx="1">
                  <c:v>51.08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4</TotalTime>
  <ScaleCrop>false</ScaleCrop>
  <LinksUpToDate>false</LinksUpToDate>
  <CharactersWithSpaces>11081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2019-11-18T23:44:00Z</cp:lastPrinted>
  <dcterms:modified xsi:type="dcterms:W3CDTF">2024-01-11T07:42:17Z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BEA2458910AB41139F85B7558FE1FD1F</vt:lpwstr>
  </property>
</Properties>
</file>